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26.05.2025 N 330н</w:t>
              <w:br/>
              <w:t xml:space="preserve">"Об утверждении Стандарта оказания услуги по социально-педагогической реабилитации и абилитации инвалидов"</w:t>
              <w:br/>
              <w:t xml:space="preserve">(Зарегистрировано в Минюсте России 24.06.2025 N 82699)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24 июня 2025 г. N 82699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мая 2025 г. N 330н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СОЦИАЛЬНО-ПЕДАГОГИЧЕСКОЙ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социально-педагогической реабилитации и абилитации инвалидов.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мая 2025 г. N 330н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СОЦИАЛЬНО-ПЕДАГОГИЧЕСКОЙ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социально-педагогической реабилитации и абилитации инвалидов (далее соответственно - стандарт, услуга)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АПК - аппаратно-программный комплекс;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ассистивно-коммуникативные технологии - это специальное программное и (или) аппаратное обеспечение, предназначенное для повышения доступности информации и средств коммуникации для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ЕПГУ - Федеральная государственная информационная система "Единый портал государственных и муниципальных услуг (функций)"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остановление Правительства РФ от 27.12.2023 N 2334 &quot;Об утверждении Правил использования федеральной государственной информационной системы &quot;Единый портал государственных и муниципальных услуг (функций)&quot;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декабря 2023 г. N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информирование (социально-педагогическое) - реабилитационное мероприятие, которое заключается в предоставлении инвалиду информации по вопросам социально-педагогической реабилитации и абилитации, включая изложение целей, задач, содержания мероприятий социально-педагогической реабилитации и абилитации инвалидов, ожидаемых результатов; различных вариантах получения общего и профессионального образования; организациях, осуществляющих образовательную деятельность, и другое, с целью повышения уровня осведомленности инвалида, касающейся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инвалида - индивидуальная программа реабилитации или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определенного параметра, составляющего ограничение жизнедеятельности (ограничение способности к ориентации, способности к общению, способности к обучению, способности контролировать свое поведение). Определяется реабилитационной организацией при проведении социально-педагогической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(социальное-педагогическое) - реабилитационное мероприятие, заключающееся в проработке индивидуальных запросов получателя мероприятия, в части подбора и использования специальных учебных пособий;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доступностью,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(социально-педагогического)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- реабилитационное мероприятие в индивидуальном и (или) групповом формате, направленное на формирование (восстановление) навыков и умений, необходимых для обучения, трудовой деятельности и социализации инвалида, в том числе с использованием современных технических средств реабилитации и ассистивных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9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социально-педагогической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(социально-педагогического) статуса инвалида (его активности и участия), после получения услуги по социально-педагогической реабилитации и абилитации,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РЖЯ - русский жестовый язык;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социально-педагогическая диагностика - реабилитационное мероприятие, направленное на оценку социально-педагогического статуса инвалида; социально-педагогическая диагностика первичная (входящая) - реабилитационное мероприятие, направленное на оценку социально-педагогического статуса инвалида до начала проведения реабилитационных мероприятий, а также на постановку конкретных целей реабилитации и абилитации на курс реабилитации, с применением валидных и апробированных методов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социально-педагогическая диагностика повторная (контрольная) - реабилитационное мероприятие по окончании курса реабилитации, направленное на оценку социально-педагогического статуса инвалида после проведения реабилитационных мероприятий, с целью выявления динамических изменений оцениваемых показателей, влияющих на достижение конкретных целей реабилитации и абилитации, с применением валидных и апробированных методов диагностики, используемых при проведении социально-педагогической диагностики первичной (входящей);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социально-педагогический статус инвалида - характеристика актуального состояния инвалида, позволяющего достичь возможности получения качественного образования (профессионального (среднего профессионального, высшего профессионального)), а также реализовать культурные потребности и интересы, обеспечивающие интеграцию в общество за счет расширения рамок социокультурной независимости;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обучению - способность к целенаправленному процессу организации деятельности по овладению знаниями, умениями, навыками и компетенцией, приобретению опыта деятельности (в том числе профессионального, социального, культурного, бытового характера), развитию способностей, приобретению опыта применения знаний в повседневной жизни и формированию мотивации получения образования в течение всей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ФФНР - фонетико-фонематическое недоразвитие речи;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101" w:name="P101"/>
    <w:bookmarkEnd w:id="101"/>
    <w:p>
      <w:pPr>
        <w:pStyle w:val="0"/>
        <w:spacing w:before="240" w:line-rule="auto"/>
        <w:jc w:val="both"/>
      </w:pPr>
      <w:r>
        <w:rPr>
          <w:sz w:val="24"/>
        </w:rPr>
        <w:t xml:space="preserve">ЦРГ 1 - инвалиды с преимущественными нарушениями психических функций;</w:t>
      </w:r>
    </w:p>
    <w:bookmarkStart w:id="102" w:name="P102"/>
    <w:bookmarkEnd w:id="102"/>
    <w:p>
      <w:pPr>
        <w:pStyle w:val="0"/>
        <w:spacing w:before="240" w:line-rule="auto"/>
        <w:jc w:val="both"/>
      </w:pPr>
      <w:r>
        <w:rPr>
          <w:sz w:val="24"/>
        </w:rPr>
        <w:t xml:space="preserve">ЦРГ 1.1 - инвалиды вследствие нарушений интеллектуального развития;</w:t>
      </w:r>
    </w:p>
    <w:bookmarkStart w:id="103" w:name="P103"/>
    <w:bookmarkEnd w:id="103"/>
    <w:p>
      <w:pPr>
        <w:pStyle w:val="0"/>
        <w:spacing w:before="240" w:line-rule="auto"/>
        <w:jc w:val="both"/>
      </w:pPr>
      <w:r>
        <w:rPr>
          <w:sz w:val="24"/>
        </w:rPr>
        <w:t xml:space="preserve">ЦРГ 1.2 - инвалиды вследствие расстройств аутистического спектра;</w:t>
      </w:r>
    </w:p>
    <w:bookmarkStart w:id="104" w:name="P104"/>
    <w:bookmarkEnd w:id="104"/>
    <w:p>
      <w:pPr>
        <w:pStyle w:val="0"/>
        <w:spacing w:before="240" w:line-rule="auto"/>
        <w:jc w:val="both"/>
      </w:pPr>
      <w:r>
        <w:rPr>
          <w:sz w:val="24"/>
        </w:rPr>
        <w:t xml:space="preserve">ЦРГ 1.3 - инвалиды вследствие экзогенно-органических расстройств, а также эпизодических и пароксизмальных расстройств;</w:t>
      </w:r>
    </w:p>
    <w:bookmarkStart w:id="105" w:name="P105"/>
    <w:bookmarkEnd w:id="105"/>
    <w:p>
      <w:pPr>
        <w:pStyle w:val="0"/>
        <w:spacing w:before="240" w:line-rule="auto"/>
        <w:jc w:val="both"/>
      </w:pPr>
      <w:r>
        <w:rPr>
          <w:sz w:val="24"/>
        </w:rPr>
        <w:t xml:space="preserve">ЦРГ 1.4 - инвалиды вследствие эндогенных, аффективных, невротических и соматоформных расстройств;</w:t>
      </w:r>
    </w:p>
    <w:bookmarkStart w:id="106" w:name="P106"/>
    <w:bookmarkEnd w:id="106"/>
    <w:p>
      <w:pPr>
        <w:pStyle w:val="0"/>
        <w:spacing w:before="240" w:line-rule="auto"/>
        <w:jc w:val="both"/>
      </w:pPr>
      <w:r>
        <w:rPr>
          <w:sz w:val="24"/>
        </w:rPr>
        <w:t xml:space="preserve">ЦРГ 2 - инвалиды с преимущественными нарушениями языковых и речевых функций;</w:t>
      </w:r>
    </w:p>
    <w:bookmarkStart w:id="107" w:name="P107"/>
    <w:bookmarkEnd w:id="107"/>
    <w:p>
      <w:pPr>
        <w:pStyle w:val="0"/>
        <w:spacing w:before="240" w:line-rule="auto"/>
        <w:jc w:val="both"/>
      </w:pPr>
      <w:r>
        <w:rPr>
          <w:sz w:val="24"/>
        </w:rPr>
        <w:t xml:space="preserve">ЦРГ 3 - инвалиды с преимущественными нарушениями сенсорных функций;</w:t>
      </w:r>
    </w:p>
    <w:bookmarkStart w:id="108" w:name="P108"/>
    <w:bookmarkEnd w:id="108"/>
    <w:p>
      <w:pPr>
        <w:pStyle w:val="0"/>
        <w:spacing w:before="240" w:line-rule="auto"/>
        <w:jc w:val="both"/>
      </w:pPr>
      <w:r>
        <w:rPr>
          <w:sz w:val="24"/>
        </w:rPr>
        <w:t xml:space="preserve">ЦРГ 3.1 - инвалиды вследствие слепоты или слабовидения;</w:t>
      </w:r>
    </w:p>
    <w:bookmarkStart w:id="109" w:name="P109"/>
    <w:bookmarkEnd w:id="109"/>
    <w:p>
      <w:pPr>
        <w:pStyle w:val="0"/>
        <w:spacing w:before="240" w:line-rule="auto"/>
        <w:jc w:val="both"/>
      </w:pPr>
      <w:r>
        <w:rPr>
          <w:sz w:val="24"/>
        </w:rPr>
        <w:t xml:space="preserve">ЦРГ 3.2 - инвалиды вследствие глухоты или слабослышания;</w:t>
      </w:r>
    </w:p>
    <w:bookmarkStart w:id="110" w:name="P110"/>
    <w:bookmarkEnd w:id="110"/>
    <w:p>
      <w:pPr>
        <w:pStyle w:val="0"/>
        <w:spacing w:before="240" w:line-rule="auto"/>
        <w:jc w:val="both"/>
      </w:pPr>
      <w:r>
        <w:rPr>
          <w:sz w:val="24"/>
        </w:rPr>
        <w:t xml:space="preserve">ЦРГ 3.3 - инвалиды вследствие сочетанных нарушений функций зрения и слуха;</w:t>
      </w:r>
    </w:p>
    <w:bookmarkStart w:id="111" w:name="P111"/>
    <w:bookmarkEnd w:id="111"/>
    <w:p>
      <w:pPr>
        <w:pStyle w:val="0"/>
        <w:spacing w:before="240" w:line-rule="auto"/>
        <w:jc w:val="both"/>
      </w:pPr>
      <w:r>
        <w:rPr>
          <w:sz w:val="24"/>
        </w:rPr>
        <w:t xml:space="preserve">ЦРГ 4 - инвалиды с преимущественными нарушениями нейромышечных, скелетных и связанных с движением (статодинамических) функций;</w:t>
      </w:r>
    </w:p>
    <w:bookmarkStart w:id="112" w:name="P112"/>
    <w:bookmarkEnd w:id="112"/>
    <w:p>
      <w:pPr>
        <w:pStyle w:val="0"/>
        <w:spacing w:before="240" w:line-rule="auto"/>
        <w:jc w:val="both"/>
      </w:pPr>
      <w:r>
        <w:rPr>
          <w:sz w:val="24"/>
        </w:rPr>
        <w:t xml:space="preserve">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</w:r>
    </w:p>
    <w:bookmarkStart w:id="113" w:name="P113"/>
    <w:bookmarkEnd w:id="113"/>
    <w:p>
      <w:pPr>
        <w:pStyle w:val="0"/>
        <w:spacing w:before="240" w:line-rule="auto"/>
        <w:jc w:val="both"/>
      </w:pPr>
      <w:r>
        <w:rPr>
          <w:sz w:val="24"/>
        </w:rPr>
        <w:t xml:space="preserve">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bookmarkStart w:id="114" w:name="P114"/>
    <w:bookmarkEnd w:id="114"/>
    <w:p>
      <w:pPr>
        <w:pStyle w:val="0"/>
        <w:spacing w:before="240" w:line-rule="auto"/>
        <w:jc w:val="both"/>
      </w:pPr>
      <w:r>
        <w:rPr>
          <w:sz w:val="24"/>
        </w:rPr>
        <w:t xml:space="preserve">ЦРГ 4.3 - инвалиды вследствие врожденного или приобретенного отсутствия одной верхней конечности;</w:t>
      </w:r>
    </w:p>
    <w:bookmarkStart w:id="115" w:name="P115"/>
    <w:bookmarkEnd w:id="115"/>
    <w:p>
      <w:pPr>
        <w:pStyle w:val="0"/>
        <w:spacing w:before="240" w:line-rule="auto"/>
        <w:jc w:val="both"/>
      </w:pPr>
      <w:r>
        <w:rPr>
          <w:sz w:val="24"/>
        </w:rPr>
        <w:t xml:space="preserve">ЦРГ 4.4 - инвалиды вследствие врожденного или приобретенного отсутствия обеих верхних конечностей;</w:t>
      </w:r>
    </w:p>
    <w:bookmarkStart w:id="116" w:name="P116"/>
    <w:bookmarkEnd w:id="116"/>
    <w:p>
      <w:pPr>
        <w:pStyle w:val="0"/>
        <w:spacing w:before="240" w:line-rule="auto"/>
        <w:jc w:val="both"/>
      </w:pPr>
      <w:r>
        <w:rPr>
          <w:sz w:val="24"/>
        </w:rPr>
        <w:t xml:space="preserve">ЦРГ 4.5 - инвалиды вследствие врожденного или приобретенного отсутствия одной нижней конечности;</w:t>
      </w:r>
    </w:p>
    <w:bookmarkStart w:id="117" w:name="P117"/>
    <w:bookmarkEnd w:id="117"/>
    <w:p>
      <w:pPr>
        <w:pStyle w:val="0"/>
        <w:spacing w:before="240" w:line-rule="auto"/>
        <w:jc w:val="both"/>
      </w:pPr>
      <w:r>
        <w:rPr>
          <w:sz w:val="24"/>
        </w:rPr>
        <w:t xml:space="preserve">ЦРГ 4.6 - инвалиды вследствие врожденного или приобретенного отсутствия обеих нижних конечностей;</w:t>
      </w:r>
    </w:p>
    <w:bookmarkStart w:id="118" w:name="P118"/>
    <w:bookmarkEnd w:id="118"/>
    <w:p>
      <w:pPr>
        <w:pStyle w:val="0"/>
        <w:spacing w:before="240" w:line-rule="auto"/>
        <w:jc w:val="both"/>
      </w:pPr>
      <w:r>
        <w:rPr>
          <w:sz w:val="24"/>
        </w:rPr>
        <w:t xml:space="preserve">ЦРГ 4.7 - инвалиды вследствие спинальной травмы и связанных с ней повреждений спинного мозга;</w:t>
      </w:r>
    </w:p>
    <w:bookmarkStart w:id="119" w:name="P119"/>
    <w:bookmarkEnd w:id="119"/>
    <w:p>
      <w:pPr>
        <w:pStyle w:val="0"/>
        <w:spacing w:before="240" w:line-rule="auto"/>
        <w:jc w:val="both"/>
      </w:pPr>
      <w:r>
        <w:rPr>
          <w:sz w:val="24"/>
        </w:rPr>
        <w:t xml:space="preserve">ЦРГ 5 - инвалиды с преимущественными нарушениями функций сердечно-сосудистой и (или) дыхательной системы (систем);</w:t>
      </w:r>
    </w:p>
    <w:bookmarkStart w:id="120" w:name="P120"/>
    <w:bookmarkEnd w:id="120"/>
    <w:p>
      <w:pPr>
        <w:pStyle w:val="0"/>
        <w:spacing w:before="240" w:line-rule="auto"/>
        <w:jc w:val="both"/>
      </w:pPr>
      <w:r>
        <w:rPr>
          <w:sz w:val="24"/>
        </w:rPr>
        <w:t xml:space="preserve">ЦРГ 6 - инвалиды с преимущественными нарушениями функций пищеварительной и (или) эндокринной системы (систем) и метаболизма;</w:t>
      </w:r>
    </w:p>
    <w:bookmarkStart w:id="121" w:name="P121"/>
    <w:bookmarkEnd w:id="121"/>
    <w:p>
      <w:pPr>
        <w:pStyle w:val="0"/>
        <w:spacing w:before="240" w:line-rule="auto"/>
        <w:jc w:val="both"/>
      </w:pPr>
      <w:r>
        <w:rPr>
          <w:sz w:val="24"/>
        </w:rPr>
        <w:t xml:space="preserve">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bookmarkStart w:id="122" w:name="P122"/>
    <w:bookmarkEnd w:id="122"/>
    <w:p>
      <w:pPr>
        <w:pStyle w:val="0"/>
        <w:spacing w:before="240" w:line-rule="auto"/>
        <w:jc w:val="both"/>
      </w:pPr>
      <w:r>
        <w:rPr>
          <w:sz w:val="24"/>
        </w:rPr>
        <w:t xml:space="preserve">ЦРГ 8 - инвалиды с преимущественными нарушениями мочевыделительной функции;</w:t>
      </w:r>
    </w:p>
    <w:bookmarkStart w:id="123" w:name="P123"/>
    <w:bookmarkEnd w:id="123"/>
    <w:p>
      <w:pPr>
        <w:pStyle w:val="0"/>
        <w:spacing w:before="240" w:line-rule="auto"/>
        <w:jc w:val="both"/>
      </w:pPr>
      <w:r>
        <w:rPr>
          <w:sz w:val="24"/>
        </w:rPr>
        <w:t xml:space="preserve">ЦРГ 9 - инвалиды с преимущественными нарушениями функций кожи и связанных с ней систем;</w:t>
      </w:r>
    </w:p>
    <w:bookmarkStart w:id="124" w:name="P124"/>
    <w:bookmarkEnd w:id="124"/>
    <w:p>
      <w:pPr>
        <w:pStyle w:val="0"/>
        <w:spacing w:before="240" w:line-rule="auto"/>
        <w:jc w:val="both"/>
      </w:pPr>
      <w:r>
        <w:rPr>
          <w:sz w:val="24"/>
        </w:rPr>
        <w:t xml:space="preserve">ЦРГ 10 - инвалиды со сложными и (или) множественными нарушениями функций организма, обусловленными хромосомными и генными болезнями;</w:t>
      </w:r>
    </w:p>
    <w:bookmarkStart w:id="125" w:name="P125"/>
    <w:bookmarkEnd w:id="125"/>
    <w:p>
      <w:pPr>
        <w:pStyle w:val="0"/>
        <w:spacing w:before="240" w:line-rule="auto"/>
        <w:jc w:val="both"/>
      </w:pPr>
      <w:r>
        <w:rPr>
          <w:sz w:val="24"/>
        </w:rPr>
        <w:t xml:space="preserve">ЦРГ 11 - инвалиды с врожденными или приобретенными деформациями (аномалиями развития), последствиями травм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w:history="0" w:anchor="P183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2611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социально-педагогической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83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&lt;5&gt;.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2611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состоянием здоровья, предоставление курса реабилитации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социально-педагогической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категориях жизнедеятельности ("способность к ориентации", "способность к общению", "способность к обучению", "способность контролировать свое поведение") в соответствии с протоколом, представленным в </w:t>
      </w:r>
      <w:hyperlink w:history="0" w:anchor="P3160" w:tooltip="51. Протокол оценки эффективности проведенного курса социально-педагогической реабилитации и абилитации.">
        <w:r>
          <w:rPr>
            <w:sz w:val="24"/>
            <w:color w:val="0000ff"/>
          </w:rPr>
          <w:t xml:space="preserve">пункте 51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конкретных целей реабилитации и абилитации при оказании услуги осуществляется специалистами междисциплинарной команды; конкретные цели формируются по каждому отдельному мероприятию. Специалист обязан проинформировать инвалида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2451" w:tooltip="49. Показатели кратности реабилитационных мероприятий социально-педагогической реабилитации и абилитации в соответствии с ЦРГ инвалида">
        <w:r>
          <w:rPr>
            <w:sz w:val="24"/>
            <w:color w:val="0000ff"/>
          </w:rPr>
          <w:t xml:space="preserve">пункт 49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&lt;6&gt; проведения мероприятий по основным направлениям комплексной реабилитации и абилитации инвалида,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(диагностика, информирование, консультирование, практические занятия), все мероприятия оказываются комплексно, за исключением отказа самого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мероприятий, входящих в состав услуги, не может быть меньше минимального времени, указанного в стандарте (</w:t>
      </w:r>
      <w:hyperlink w:history="0" w:anchor="P2433" w:tooltip="48. Показатели продолжительности реабилитационных мероприятий социально-педагогической реабилитации и абилитации">
        <w:r>
          <w:rPr>
            <w:sz w:val="24"/>
            <w:color w:val="0000ff"/>
          </w:rPr>
          <w:t xml:space="preserve">пункт 48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в соответствии с </w:t>
      </w:r>
      <w:hyperlink w:history="0" w:anchor="P3065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социально-педагогической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(слепого),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услуги; возможность размещения собаки-проводника в месте отдыха или ожидания собаки-проводника в часы получения инвалидом мероприятий (при необходимости и согласии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w:history="0" r:id="rId2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формировании информации об услуге в информационно-телекоммуникационной сети "Интернет" должны быть учтены требования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jc w:val="both"/>
      </w:pPr>
      <w:r>
        <w:rPr>
          <w:sz w:val="24"/>
        </w:rPr>
      </w:r>
    </w:p>
    <w:bookmarkStart w:id="183" w:name="P183"/>
    <w:bookmarkEnd w:id="183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628"/>
        <w:gridCol w:w="3572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14" w:tooltip="&lt;7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ЦРГ 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Сурдопедагог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Тифлопедагог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572" w:type="dxa"/>
          </w:tcPr>
          <w:p>
            <w:pPr>
              <w:pStyle w:val="0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14" w:name="P214"/>
    <w:bookmarkEnd w:id="2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Перечень специалистов приведен с учетом положений </w:t>
      </w:r>
      <w:hyperlink w:history="0" r:id="rId3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757"/>
        <w:gridCol w:w="1077"/>
        <w:gridCol w:w="2834"/>
        <w:gridCol w:w="283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56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диагностика: 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 (при необходимости)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сурдопедагог;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сурдопедагог;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сурдопедагог;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социальной реабилитации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логопед;</w:t>
            </w:r>
          </w:p>
          <w:p>
            <w:pPr>
              <w:pStyle w:val="0"/>
            </w:pPr>
            <w:r>
              <w:rPr>
                <w:sz w:val="24"/>
              </w:rPr>
              <w:t xml:space="preserve">педагог дополнительного образования/социальный педагог/культорганизатор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Педагог-дефектолог;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сурдопедагог;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тифлопедагог;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23. Инвалиды с преимущественными нарушениями психических функций </w:t>
      </w:r>
      <w:hyperlink w:history="0" w:anchor="P101" w:tooltip="ЦРГ 1 - инвалиды с преимущественными нарушениями психических функций;">
        <w:r>
          <w:rPr>
            <w:sz w:val="24"/>
            <w:color w:val="0000ff"/>
          </w:rPr>
          <w:t xml:space="preserve">(ЦРГ 1)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инвалида с целью определения его образовательного статуса (уровня полученного образования, условий получения образования, цензовость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значимости полового воспитания инвалида (при необходимости)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24. Инвалиды вследствие нарушений интеллектуального развития </w:t>
      </w:r>
      <w:hyperlink w:history="0" w:anchor="P102" w:tooltip="ЦРГ 1.1 - инвалиды вследствие нарушений интеллектуального развития;">
        <w:r>
          <w:rPr>
            <w:sz w:val="24"/>
            <w:color w:val="0000ff"/>
          </w:rPr>
          <w:t xml:space="preserve">(ЦРГ 1.1)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инвалида с целью определения его образовательного статуса (уровня полученного образования, условий получения образования, цензовость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значимости полового воспитания инвалида (при необходимости)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25. Инвалиды вследствие расстройств аутистического спектра </w:t>
      </w:r>
      <w:hyperlink w:history="0" w:anchor="P103" w:tooltip="ЦРГ 1.2 - инвалиды вследствие расстройств аутистического спектра;">
        <w:r>
          <w:rPr>
            <w:sz w:val="24"/>
            <w:color w:val="0000ff"/>
          </w:rPr>
          <w:t xml:space="preserve">(ЦРГ 1.2)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инвалида с целью определения его образовательного статуса (уровня полученного образования, условий получения образования, цензовость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значимости полового воспитания инвалида (при необходимости)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26. Инвалиды вследствие экзогенно-органических расстройств, а также эпизодических и пароксизмальных расстройств </w:t>
      </w:r>
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<w:r>
          <w:rPr>
            <w:sz w:val="24"/>
            <w:color w:val="0000ff"/>
          </w:rPr>
          <w:t xml:space="preserve">(ЦРГ 1.3)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значимости полового воспитания инвалида (при необходимости)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firstLine="540"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firstLine="540"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firstLine="540"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firstLine="540"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27. Инвалиды вследствие эндогенных, аффективных, невротических и соматоформных расстройств </w:t>
      </w:r>
      <w:hyperlink w:history="0" w:anchor="P105" w:tooltip="ЦРГ 1.4 - инвалиды вследствие эндогенных, аффективных, невротических и соматоформных расстройств;">
        <w:r>
          <w:rPr>
            <w:sz w:val="24"/>
            <w:color w:val="0000ff"/>
          </w:rPr>
          <w:t xml:space="preserve">(ЦРГ 1.4)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мыслительной деятельности, чтения, счета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 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28. Инвалиды с преимущественными нарушениями языковых и речевых функций </w:t>
      </w:r>
      <w:hyperlink w:history="0" w:anchor="P106" w:tooltip="ЦРГ 2 - инвалиды с преимущественными нарушениями языковых и речевых функций;">
        <w:r>
          <w:rPr>
            <w:sz w:val="24"/>
            <w:color w:val="0000ff"/>
          </w:rPr>
          <w:t xml:space="preserve">(ЦРГ 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АДК, и (или) ассистивно-коммуникативными технологиями, а также ТСР (коммуникаторы, голосообразующие аппараты и другое)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РЖЯ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АДК, РЖЯ;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речи, чтения,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РЖЯ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навыков, в том числе обучение АДК или РЖЯ,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(коммуникативные вспомогательные устройства, речевые коммуникаторы, голосообразующие аппараты)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АДК, и (или) ассистивно-коммуникативными технологиями, а также ТСР (коммуникаторы, голосообразующие аппараты и другое)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РЖЯ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29. Инвалиды с преимущественными нарушениями сенсорных функций </w:t>
      </w:r>
      <w:hyperlink w:history="0" w:anchor="P107" w:tooltip="ЦРГ 3 - инвалиды с преимущественными нарушениями сенсорных функций;">
        <w:r>
          <w:rPr>
            <w:sz w:val="24"/>
            <w:color w:val="0000ff"/>
          </w:rPr>
          <w:t xml:space="preserve">(ЦРГ 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или РЖЯ, или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технологий, а также потребности сопровождения курса реабилитации услугами перевода РЖЯ и другое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vMerge w:val="continue"/>
          </w:tcPr>
          <w:p/>
        </w:tc>
        <w:tc>
          <w:tcPr>
            <w:tcW w:w="992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АДК,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обучения, ориентации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рук; самостоятельного совершенствования навыка владением компьютером, а также рельефно-точечным шрифтом Брайля (при необходимости)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или РЖЯ, или рельефно-точечному шрифту Брайля,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другое), в том числе в формате версии для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необходимых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электронная медицинская карта и другое)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или РЖЯ, или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30. Инвалиды вследствие слепоты или слабовидения </w:t>
      </w:r>
      <w:hyperlink w:history="0" w:anchor="P108" w:tooltip="ЦРГ 3.1 - инвалиды вследствие слепоты или слабовидения;">
        <w:r>
          <w:rPr>
            <w:sz w:val="24"/>
            <w:color w:val="0000ff"/>
          </w:rPr>
          <w:t xml:space="preserve">(ЦРГ 3.1)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vMerge w:val="continue"/>
          </w:tcPr>
          <w:p/>
        </w:tc>
        <w:tc>
          <w:tcPr>
            <w:tcW w:w="992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рельефно-точечному шрифту Брайля, а также пользованию компьютером (со специальным программным обеспечением для лиц с нарушением сенсорных функций (зрения) и смартфоном (невизуальный доступ);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ТСР, современных ассистивно-коммуникативных технологиях (устройствах) для обучения, ориентации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социально-педагогической реабилитации и абилитации инвалида (самостоятельного совершенствования навыка владения компьютером, рельефно-точечным шрифтом Брайля;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 тактильный глобус, пособия для незрячих по направлениям (типа "Памятники для незрячих"), портативные наборы для копирования рисунков, графиков, изображений);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операций, в том числе с использованием рельефно-точечного шрифта Брайля,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другое), в том числе в формате версии для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ассистивно-коммуникативными технологиями, необходимыми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(лепка, рисование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прочтения художественных литературных произведений с последующим обсуждением в группе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 (зрения)), смартфоном (в том числе обучение невизуальной доступности сенсорных устройств), включая электронные ресурсы (ЕПГУ, электронная медицинская карта и другое)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31. Инвалиды вследствие глухоты или слабослышания </w:t>
      </w:r>
      <w:hyperlink w:history="0" w:anchor="P109" w:tooltip="ЦРГ 3.2 - инвалиды вследствие глухоты или слабослышания;">
        <w:r>
          <w:rPr>
            <w:sz w:val="24"/>
            <w:color w:val="0000ff"/>
          </w:rPr>
          <w:t xml:space="preserve">(ЦРГ 3.2)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РЖЯ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технологий, а также потребности сопровождения курса реабилитации услугами перевода РЖЯ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РЖЯ;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ТСР, современных ассистивно-коммуникативных технологиях (устройствах) для обучения, ориентации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пение (вокал), в том числе жестовое пение, жестовое декламация стихов,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речи, чтения, счета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РЖЯ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с использованием ТСР (слуховых аппаратов, индукционных петель и другого));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РЖЯ,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необходимых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РЖЯ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(при необходимости - в виде анкетирования)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32. Инвалиды вследствие сочетанных нарушений функций зрения и слуха </w:t>
      </w:r>
      <w:hyperlink w:history="0" w:anchor="P110" w:tooltip="ЦРГ 3.3 - инвалиды вследствие сочетанных нарушений функций зрения и слуха;">
        <w:r>
          <w:rPr>
            <w:sz w:val="24"/>
            <w:color w:val="0000ff"/>
          </w:rPr>
          <w:t xml:space="preserve">(ЦРГ 3.3)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или РЖЯ, или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технологий, а также потребности сопровождения курса реабилитации услугами перевода РЖЯ и другое и другое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vMerge w:val="continue"/>
          </w:tcPr>
          <w:p/>
        </w:tc>
        <w:tc>
          <w:tcPr>
            <w:tcW w:w="992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АДК,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обучения, ориентации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рук; самостоятельного совершенствования навыка владением компьютером, а также рельефно-точечным шрифтом Брайля (при необходимости),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или РЖЯ, или рельефно-точечному шрифту Брайля,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другое), в том числе в формате версии для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необходимых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электронная медицинская карта и другое)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или РЖЯ, или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33. Инвалиды с преимущественными нарушениями нейромышечных, скелетных и связанных с движением (статодинамических) функций </w:t>
      </w:r>
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<w:r>
          <w:rPr>
            <w:sz w:val="24"/>
            <w:color w:val="0000ff"/>
          </w:rPr>
          <w:t xml:space="preserve">(ЦРГ 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чтения, речи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34.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 </w:t>
      </w:r>
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<w:r>
          <w:rPr>
            <w:sz w:val="24"/>
            <w:color w:val="0000ff"/>
          </w:rPr>
          <w:t xml:space="preserve">(ЦРГ 4.1)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чтения, речи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35.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 </w:t>
      </w:r>
      <w:hyperlink w:history="0" w:anchor="P113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<w:r>
          <w:rPr>
            <w:sz w:val="24"/>
            <w:color w:val="0000ff"/>
          </w:rPr>
          <w:t xml:space="preserve">(ЦРГ 4.2)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ТСР,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36. Инвалиды вследствие врожденного или приобретенного отсутствия одной верхней конечности </w:t>
      </w:r>
      <w:hyperlink w:history="0" w:anchor="P114" w:tooltip="ЦРГ 4.3 - инвалиды вследствие врожденного или приобретенного отсутствия одной верхней конечности;">
        <w:r>
          <w:rPr>
            <w:sz w:val="24"/>
            <w:color w:val="0000ff"/>
          </w:rPr>
          <w:t xml:space="preserve">(ЦРГ 4.3)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руки; коррекции нарушений письма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потере инвалидом ведущей руки);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37. Инвалиды вследствие врожденного или приобретенного отсутствия обеих верхних конечностей </w:t>
      </w:r>
      <w:hyperlink w:history="0" w:anchor="P115" w:tooltip="ЦРГ 4.4 - инвалиды вследствие врожденного или приобретенного отсутствия обеих верхних конечностей;">
        <w:r>
          <w:rPr>
            <w:sz w:val="24"/>
            <w:color w:val="0000ff"/>
          </w:rPr>
          <w:t xml:space="preserve">(ЦРГ 4.4)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(при наличии протезов верхних конечностей);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базовых учебных действий: элементарных навыков чтения, счета и письма (при наличии функционального протеза (протезов) верхней конечности);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совершенствования навыка владения компьютером (включая пользование адаптированными клавиатурами), развитие общей моторики (при наличии протезов верхних конечностей)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(при наличии протезов верхних конечностей);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базовых учебных действий: навыков чтения, счета, письма (при наличии функционального протеза (протезов) верхней конечности), а также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наличии функционального протеза (протезов) верхней конечности);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 (включая пользование адаптированными клавиатурами),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(при наличии протезов верхних конечностей);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базовых учебных действий: элементарных навыков чтения, счета и письма (при наличии функционального протеза (протезов) верхней конечности);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и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38. Инвалиды вследствие врожденного или приобретенного отсутствия одной нижней конечности </w:t>
      </w:r>
      <w:hyperlink w:history="0" w:anchor="P116" w:tooltip="ЦРГ 4.5 - инвалиды вследствие врожденного или приобретенного отсутствия одной нижней конечности;">
        <w:r>
          <w:rPr>
            <w:sz w:val="24"/>
            <w:color w:val="0000ff"/>
          </w:rPr>
          <w:t xml:space="preserve">(ЦРГ 4.5)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счета, письма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39. Инвалиды вследствие врожденного или приобретенного отсутствия обеих нижних конечностей </w:t>
      </w:r>
      <w:hyperlink w:history="0" w:anchor="P117" w:tooltip="ЦРГ 4.6 - инвалиды вследствие врожденного или приобретенного отсутствия обеих нижних конечностей;">
        <w:r>
          <w:rPr>
            <w:sz w:val="24"/>
            <w:color w:val="0000ff"/>
          </w:rPr>
          <w:t xml:space="preserve">(ЦРГ 4.6)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счета, письма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40. Инвалиды вследствие спинальной травмы и связанных с ней повреждений спинного мозга </w:t>
      </w:r>
      <w:hyperlink w:history="0" w:anchor="P118" w:tooltip="ЦРГ 4.7 - инвалиды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4.7)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 на колясках,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письма, чтения, речи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письменно-двигательного навыка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 (письменно-двигательного навыка),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41. Инвалиды с преимущественными нарушениями функций сердечно-сосудистой и (или) дыхательной системы </w:t>
      </w:r>
      <w:hyperlink w:history="0" w:anchor="P119" w:tooltip="ЦРГ 5 - инвалиды с преимущественными нарушениями функций сердечно-сосудистой и (или) дыхательной системы (систем);">
        <w:r>
          <w:rPr>
            <w:sz w:val="24"/>
            <w:color w:val="0000ff"/>
          </w:rPr>
          <w:t xml:space="preserve">(ЦРГ 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дислалии);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коррекции нарушений речи (звукопроизношения)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 (нарушений звукопроизношения, связанных с установкой трахеостомы),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письма, счета (базовых учебных действий),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навыков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дислалии);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42. Инвалиды с преимущественными нарушениями функций пищеварительной и (или) эндокринной системы (систем) и метаболизма </w:t>
      </w:r>
      <w:hyperlink w:history="0" w:anchor="P120" w:tooltip="ЦРГ 6 - инвалиды с преимущественными нарушениями функций пищеварительной и (или) эндокринной системы (систем) и метаболизма;">
        <w:r>
          <w:rPr>
            <w:sz w:val="24"/>
            <w:color w:val="0000ff"/>
          </w:rPr>
          <w:t xml:space="preserve">(ЦРГ 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самостоятельного совершенствования навыка пользования компьютером и (или) смартфоном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письма, счета (базовых учебных действий),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43.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</w:t>
      </w:r>
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<w:r>
          <w:rPr>
            <w:sz w:val="24"/>
            <w:color w:val="0000ff"/>
          </w:rPr>
          <w:t xml:space="preserve">(ЦРГ 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 и (или)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и ассистивно-коммуникативных технологиях для коммуникации,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использования ТСР,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 и (или)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44. Инвалиды с преимущественными нарушениями мочевыделительной функции </w:t>
      </w:r>
      <w:hyperlink w:history="0" w:anchor="P122" w:tooltip="ЦРГ 8 - инвалиды с преимущественными нарушениями мочевыделительной функции;">
        <w:r>
          <w:rPr>
            <w:sz w:val="24"/>
            <w:color w:val="0000ff"/>
          </w:rPr>
          <w:t xml:space="preserve">(ЦРГ 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самостоятельного совершенствования навыка пользования компьютером и (или) смартфоном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письма, счета (базовых учебных действий),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45. Инвалиды с преимущественными нарушениями функций кожи и связанных с ней систем </w:t>
      </w:r>
      <w:hyperlink w:history="0" w:anchor="P123" w:tooltip="ЦРГ 9 - инвалиды с преимущественными нарушениями функций кожи и связанных с ней систем;">
        <w:r>
          <w:rPr>
            <w:sz w:val="24"/>
            <w:color w:val="0000ff"/>
          </w:rPr>
          <w:t xml:space="preserve">(ЦРГ 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направления,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(самостоятельного развития тонкой дифференциации движений пальцев рук; самостоятельного совершенствования навыка пользования компьютером и (или) смартфоном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чтения, письма, счета (базовых учебных действий), мыслительных операций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ассистивно-коммуникативными технологиями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46. Инвалиды со сложными и (или) множественными нарушениями функций организма, обусловленные хромосомными и генными болезнями </w:t>
      </w:r>
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<w:r>
          <w:rPr>
            <w:sz w:val="24"/>
            <w:color w:val="0000ff"/>
          </w:rPr>
          <w:t xml:space="preserve">(ЦРГ 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исходной документации инвалида с целью определения его образовательного статуса (уровня полученного образования, условий получения образования, цензовость образования);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или анкетирование в целях сбора социально-педагогического анамнеза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ТСР для получения образования и новой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современных ассистивно-коммуникативных технологиях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(участие в театральных постановках, пение, игра на музыкальных инструментах, танцы, декламация стихов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значимости полового воспитания инвалида (при необходимости)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оптимального образовательного маршрута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 и (или) использования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полового воспитания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АДК,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культуры поведения в обществе, включая самоконтроль мимики и жестов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навыка пользования компьютером, смартфоном, в том числе электронными ресурсами (ЕПГУ, электронная медицинская карта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занятия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пользования ТСР, необходимых для целей социально-педагогической реабилитации и абилитации инвалида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 (или) ассистивно-коммуникативными технологиями, а также ТСР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компьютером, смартфоном, информационными ресурсами;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47. Инвалиды с врожденными или приобретенными деформациями (аномалиями развития), последствиями травм лица </w:t>
      </w:r>
      <w:hyperlink w:history="0" w:anchor="P125" w:tooltip="ЦРГ 11 - инвалиды с врожденными или приобретенными деформациями (аномалиями развития), последствиями травм лица.">
        <w:r>
          <w:rPr>
            <w:sz w:val="24"/>
            <w:color w:val="0000ff"/>
          </w:rPr>
          <w:t xml:space="preserve">(ЦРГ 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9921"/>
        <w:gridCol w:w="198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9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первичная (входящая)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документов об образовании (квалификации) инвалида с целью определения его квалификации и уровня образования (вид образования, форма получения образования, форма обучения, образовательные программы);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беседа, в том числе опрос в целях сбора социально-педагогического анамнеза инвалида (при невозможности самостоятельного (письменного) заполнения анкет инвалидом, допускается заполнение бланков специалистом со слов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или РЖЯ, или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обучаемости и освоения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основных предпочтений при планировании и проведении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и склонности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социально-педагогической диагностики, содержащего,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разработку индивидуального плана (реабилитационного маршрута) социально-педагогической реабилитации и абилитации инвалида с определением объема конкретных мероприятий, их количества, нуждаемости использования ТСР и ассистивных технологий, а также потребности сопровождения курса реабилитации услугами перевода РЖЯ и другое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Особые указания: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значительных и значительно выраженных нарушениях функций зрения анкетирование и обследование возможно проводить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 и (или) с использованием оптических средств коррекции слабовидения (очки, видео- и электронные увеличители, лупы и другое) и (или) с применением вербальных или адаптированных форм диагностического материала (отрицательная контрастность (60 - 100%), увеличенный размер изображений, дублирование информации шрифтом Брайля), а также с учетом возможностей остаточного зрения и с опорой на сохранные модальности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целях, задачах, содержании мероприятий по социально-педагогической реабилитации и абилитации инвалидов, ожидаемых результатах;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и условиях прохождения профессионального обучения, получения профессионального и дополнительного образования, трудоустройства, в том числе с учетом склонностей и интересов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психолого-педагогического сопровождения профессионального образовательного процесса лиц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образовательную деятельность, включая организации, осуществляющих обучение АДК, РЖЯ, рельефно-точечному шрифту Брайля, а также пользованию компьютером (со специальным программным обеспечением для лиц с нарушением сенсорных функций) и смартфоном (невизуальный доступ)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оказывающих логопедическую помощь;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способах АДК, а также о ТСР, современных ассистивно-коммуникативных технологиях (устройствах) для обучения, ориентации и коммуникации, в том числе приобретаемых за счет средств инвалида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инвалидов, а также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 (театральные постановки, игра на музыкальных инструментах, танцы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инвалида по зрению культурных мероприятиях, в том числе о тифлокомментировании спектаклей, киносеансов, и других культурно-зрелищных мероприятиях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инвалида в выставках, ярмарках, мероприятиях самодеятельного народного творчества, а также в смотрах, конкурсах, соревнованиях разного уровня и направления и так далее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методов социально-педагогической реабилитации и абилитации инвалида (самостоятельной коррекции нарушений чтения, речи, развития тонкой дифференциации движений пальцев рук; самостоятельного совершенствования навыка владением компьютером, а также рельефно-точечным шрифтом Брайля (при необходимости), и другого);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и использования специальных учебных пособий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оптимального образовательного маршрута и профессионального образования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обучения АДК, РЖЯ, рельефно-точечному шрифту Брайля, использованию ассистивно-коммуникативных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ТСР, современных ассистивно-коммуникативных технологий для целей социально-педагогической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интересов инвалида и связанных с ними направлений творческой деятельности и другого;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повышения мотивации к активному участию в культурной жизни общества, а также к изучению и освоению культурного наследия;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проведения досуга (творческая деятельность, в том числе с использованием ТСР);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возможностей развития интеллектуально-познавательной сферы (расширение общего кругозора) инвалида посредством участия в интеллектуально-досуговых мероприятиях (образовательных экскурсиях, литературных вечерах, тематических мероприятиях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участия в мероприятиях по адаптивной физической культуре и спорту;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другим вопросам, относящимся к социально-педагогической реабилитации и абилитации, по запросу инвалида и (или) члена семьи (при необходимости)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письма, чтения, счета (базовых учебных действий), мыслительных операций;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логопедических занятий по коррекции речевых нарушений, нарушений чтения и письма, в том числе с использованием компьютерных технологий, АПК;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общей моторики и тонкой дифференциации движений пальцев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коммуникативных и поведенческих навыков, в том числе обучение АДК или РЖЯ, или рельефно-точечному шрифту Брайля, а также пользованию ассистивно-коммуникативными технологиями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информацией (навигацией) по выбору образовательной и реабилитационной организации с учетом доступности и приближенности к месту жительства на различных сайтах, в том числе на сайте "Жить вместе" (навигация по сайтам образовательных организаций, образовательных порталов и другое), в том числе в формате версии для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устойчивой мотивации к получению новых знаний, образования и трудовой деятельности, в целом;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пользования ТСР, необходимых для целей социально-педагогической реабилитации и абилитации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творческой инициативы и самореализации инвалида посредством занятий декоративно-прикладным искусством (вязание, резьба по дереву, лепка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активного культурно-досугового поведения (активного планирования досуга и содержательного наполнения свободного времени), в том числе с учетом адекватной оценки собственных интересов и возможностей инвалидом;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духовно-нравственных ценностей инвалида с целью привития социальных и морально-нравственных норм посредством совместного (группового) просмотра и осуществления параллельного смыслового анализа фильмов, спектаклей, прочтения художественных литературных произведений с последующим обсуждением в группе;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(формирование) навыков пользования компьютером (включая специальное программное обеспечение для лиц с нарушением сенсорных функций), смартфоном (в том числе обучение невизуальной доступности сенсорных устройств), включая электронные ресурсы (ЕПГУ, электронная медицинская карта и другое) и другое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 повторная (контрольная)</w:t>
            </w:r>
          </w:p>
        </w:tc>
        <w:tc>
          <w:tcPr>
            <w:tcW w:w="99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педагогического обследования (при необходимости с использованием адаптированных форм диагностического материала с опорой на сохранные анализаторы), направленного на определение (исследование) сформированности учебных навыков и навыков организации социального общения и поведения в обществе (домены МКФ "Обучение и применение знаний", "Общие задачи и требования", "Общение", "Межличностные взаимодействия и отношения", "Главные сферы жизни"):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степени сохранности (сформированности) элементарных навыков письма, чтения, счета (базовых учебных действий);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мыслительной деятельности (уровень развития мышления, мыслительных операций);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общей моторики и тонкой дифференциации движений пальцев рук;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импрессивной речи (понимания устной и письменной речи, наличие ФФНР) и экспрессивной (навыков артикуляции (образования звуков речи), состояние звукопроизношения, темпо-ритмические характеристики, наличие дизартрии, афазии, дислалии, сохранность письменной речи);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коммуникативными и поведенческими навыками при взаимодействии в социуме;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АДК или РЖЯ, или рельефно-точечным шрифтом Брайля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пользования компьютером (в том числе со специальным программным обеспечением для лиц с нарушением сенсорных функций (зрения), смартфоном (включая владение невизуальной доступностью сенсорных устройств), информационными ресурсами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владения ТСР, ассистивно-коммуникативными технологиями для целей социально-педагогической реабилитации и абилитации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общей осведомленности и познавательной активности;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сформированности навыков планирования досуга;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уровня развития духовно-нравственных ценностей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мотивации к определенным видам обучения, образования и к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инвалидом (при необходимости - членом семьи) с целью определения уровня оценки его удовлетворенности качеством полученных реабилитационных мероприятий по социально-педагогической реабилитации;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итогам социально-педагогической диагностики инвалида, содержащего: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социально-педагогического статуса инвалида (сохранен, нарушен, утрачен);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эффективности проведенного курса социально-педагогической реабилитации и абилитации инвалида (на основании анализа количественных и качественных показателей повторно проведенной социально-педагогической диагностики);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дальнейшей социально-педагогической реабилитации и абилитации (нуждается или не нуждается);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удовлетворенности инвалида (при необходимости - члена семьи) реализованными мероприятиями по социально-педагогической реабилитации и абилитации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2433" w:name="P2433"/>
    <w:bookmarkEnd w:id="2433"/>
    <w:p>
      <w:pPr>
        <w:pStyle w:val="2"/>
        <w:outlineLvl w:val="2"/>
        <w:jc w:val="both"/>
      </w:pPr>
      <w:r>
        <w:rPr>
          <w:sz w:val="24"/>
        </w:rPr>
        <w:t xml:space="preserve">48. Показатели продолжительности реабилитационных мероприятий социально-педагогической реабилитации и абилитации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6180"/>
        <w:gridCol w:w="2324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3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71" w:type="dxa"/>
          </w:tcPr>
          <w:p>
            <w:pPr>
              <w:pStyle w:val="0"/>
              <w:ind w:left="20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Социально-педагогическая диагностика (первичная (входящая) и повторная (контрольная)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71" w:type="dxa"/>
          </w:tcPr>
          <w:p>
            <w:pPr>
              <w:pStyle w:val="0"/>
              <w:ind w:left="20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71" w:type="dxa"/>
          </w:tcPr>
          <w:p>
            <w:pPr>
              <w:pStyle w:val="0"/>
              <w:ind w:left="20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71" w:type="dxa"/>
          </w:tcPr>
          <w:p>
            <w:pPr>
              <w:pStyle w:val="0"/>
              <w:ind w:left="20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1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451" w:name="P2451"/>
    <w:bookmarkEnd w:id="2451"/>
    <w:p>
      <w:pPr>
        <w:pStyle w:val="2"/>
        <w:outlineLvl w:val="2"/>
        <w:jc w:val="both"/>
      </w:pPr>
      <w:r>
        <w:rPr>
          <w:sz w:val="24"/>
        </w:rPr>
        <w:t xml:space="preserve">49. Показатели кратности реабилитационных мероприятий социально-педагогической реабилитации и абилитации в соответствии с ЦРГ инвалида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632"/>
        <w:gridCol w:w="1632"/>
        <w:gridCol w:w="1632"/>
        <w:gridCol w:w="1632"/>
        <w:gridCol w:w="1632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4"/>
            <w:tcW w:w="6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социально-педагогической реабилитации и абилитации</w:t>
            </w:r>
          </w:p>
        </w:tc>
        <w:tc>
          <w:tcPr>
            <w:tcW w:w="16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Социально-педагогическая диагностика (константа)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2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3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5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8 - 35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3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4" w:tooltip="ЦРГ 4.3 - инвалиды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5" w:tooltip="ЦРГ 4.4 - инвалиды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1 - 17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6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7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20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1 - 7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5 - 21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22" w:tooltip="ЦРГ 8 - инвалиды с преимущественными нарушениями мочевыделительной функции;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23" w:tooltip="ЦРГ 9 - инвалиды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5 - 25</w:t>
            </w:r>
          </w:p>
        </w:tc>
        <w:tc>
          <w:tcPr>
            <w:tcW w:w="16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10 - 35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611" w:name="P2611"/>
    <w:bookmarkEnd w:id="2611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494"/>
        <w:gridCol w:w="1530"/>
        <w:gridCol w:w="4762"/>
        <w:gridCol w:w="849"/>
        <w:gridCol w:w="849"/>
        <w:gridCol w:w="255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2974" w:tooltip="&lt;8&gt; Наименования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2975" w:tooltip="&lt;9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47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испытания и оценки когнитивных способностей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04 25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проверки (испытания) и оценки устной речи </w:t>
            </w: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(04 25 03)</w:t>
              </w:r>
            </w:hyperlink>
            <w:r>
              <w:rPr>
                <w:sz w:val="24"/>
              </w:rPr>
              <w:t xml:space="preserve"> </w:t>
            </w:r>
            <w:hyperlink w:history="0" w:anchor="P2976" w:tooltip="&lt;10&gt; Наименование вспомогательных средств и код подкласса приведены в соответствии с ГОСТ-9999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логопедическое зеркало;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логопедические диагностические комплекты и альбомы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проверки (испытания) и оценки устной речи </w:t>
            </w: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(04 25 03)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комплексы, позволяющие оценить работу интенсивности выдоха и (или) голоса, высоту основного тона, над диафрагмальным дыханием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тестирования и оценки психических функций организма </w:t>
            </w: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(04 25 06)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диагностических методик; диагностические пособия (исследование базовых компетенций, необходимых для обучения и социализации инвалида и другого)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стимуляции ощущений и чувствительности (тактильные средства)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04 27 18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кубиков из различных материалов (дерева, пластмассы, ткани, резины и других); дидактические наборы дощечек-пазлов с рельефом и углублениями в виде фигур; наборы объемных элементов разной формы; тактильно-развивающие панели с различными текстурами; наборы резиновых мячей с шипами; массажные шарики "Су-джок"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4" w:tooltip="ЦРГ 4.3 - инвалиды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родному языку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05 18 03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Учебные материалы, словари, атласы-словари, справочники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коммуникационной терапии и коммуникационного тренинга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05 03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АПК, позволяющие оценить и провести коррекционно-развивающую работу над интенсивностью выдоха и (или) голоса, высотой основного тона, над диафрагмальным дыханием и другим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диагностики и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Логопедические альбомы для развития связной речи, дидактические наборы для работы логопеда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Прописи, тренажеры для письма, деревянные трафареты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4" w:tooltip="ЦРГ 4.3 - инвалиды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альтернативной и интенсивной коммуникации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05 06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Учебно-методические пособия, в том числе тактильно-звуковые (азбука для изучающих Брайль;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алфавит Брайля; альбомы с рельефными прописными буквами, цифрами, знаками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грифели для письма рельефно-точечным шрифтом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тетради и блокноты для письма рельефно-точечным шрифтом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трафарет для подписи;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прибор для письма по системе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прибор для плоского письма по Брайлю;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тифломаркер с набором звуковых меток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Картотека жестовых символов (РЖЯ), видеоуроки по РЖЯ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Альбомы и наборы пиктограмм и карточек с изображениями различных символов, в частности, система Блисс-символов;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пиктографическая идеографическая коммуникация (PIC, пиктограммы) и картиночные символы коммуникации (PCS);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символов Виджит;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альтернативная коммуникация посредством орфографического письма;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языковая программа "Макатон" (М. Уокер);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картотека жестовых символов (сигсимволы);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альтернативная система обучения коммуникации "PECS";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словесные кубики Примака; тактильные символы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перцептивной тренировки (тренировки восприятия)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04 36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Лото; блоки Дьенеша; счетные палочки Кюизенера; сортеры;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Монтессори;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доски Сегена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модули (в частности, на сравнение цветов);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панели (в частности, с изображением различных времен года, месяцев);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тифлоприбор "Ориентир"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Календари;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звуковые и тактильные таймеры;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обучающие часы с речевым выходом (в том числе тактильные)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Объемные предметы (фигуры) из различных материалов, а также природные материалы для тренировки сенсорной дифференциации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тренировки пальцев и кистей рук (средства для развития мелкой моторики)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04 48 12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Силиконовые мячи для тренировки кистей рук различных текстур и плотности;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резинки, резиновые и (или) силиконовые эспандеры различной плотности и ширины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4" w:tooltip="ЦРГ 4.3 - инвалиды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последовательности действий (в частности, настольные игры);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упражнения, направленные на развитие умения классифицировать (в частности, на нахождение пары, распределение предметов по группам);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средства, направленные на развитие навыков индуктивного и (или) дедуктивного мышления (по типу развивающего набора "Дары Фребеля", сборников головоломок для развития мышления);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пособия для развития способности понимать причину и следствие (в частности, составление логических цепочек)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комплекты и (или) игры на развитие умозрительного восприятия (игры по типу "Кто я?";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карточек на составление логических цепочек, продолжение ряда);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тифлоприбор (по типу тифлоприбора "Ориентир")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; остальные ЦРГ - при необходимости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основным обиходным навыкам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05 15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Палочки Кюизенера, счеты, кассы цифр и счетных материалов, тактильные цифры и математические знаки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Обучающие часы (электронные, со стрелками), визуальные таймеры, в том числе тактильные и (или) с речевым оповещением; дидактические материалы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игры с карточками товаров и муляжами денег (монет и банкнот разного достоинства), игровая касса;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определитель номинала купюр с речевым выходом; держатель для монет с рельефными обозначениями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Сантиметр, емкости различного объема (в том числе с рельефными обозначениями), дидактические материалы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Линейки, геометрические фигуры (плоскостные, объемные и так далее), тифлоприбор "Графика", геометрический сенсорный мешочек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обращению с клавиатурой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05 30 12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Адаптированные клавиатуры с крупными кнопками и пластиковой накладкой, разделяющей клавиши;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адаптированные клавиатуры со шрифтом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сенсорные клавиатуры для лиц с нарушениями опорно-двигательного аппарата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5" w:tooltip="ЦРГ 4.4 - инвалиды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вычислений (калькуляции)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22 15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Счеты, калькуляторы (в том числе произносящие числа)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чтения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22 30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чтения со звуковым выходом и (или) укрупненным шрифтом, и (или) тактильные;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мультимедийные материалы для чтения (с использованием более 1 носителя информации);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тифлофлешплееры; читающие машины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перелистывания страниц, подставки для книг и книгодержатели; рамки для чтения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 - </w:t>
            </w:r>
            <w:hyperlink w:history="0" w:anchor="P115" w:tooltip="ЦРГ 4.4 - инвалиды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Компьютеры и терминалы, в том числе портативные компьютеры и персональные цифровые ассистенты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22 33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Стационарные и (или) портативные компьютеры и персональные цифровые ассистенты;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операционное программное обеспечение;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(системы) экранного доступа; брайлевский дисплей;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принтеры для печати текстов шрифтом Брайля;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видео- и электронные увеличители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связи "лицом к лицу"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22 21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(панели) букв, символов;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Блисс-символов; различные коммуникаторы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Оборудование для перевода видеотекста в искусственную речь;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улучшения произношения;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программы для создания пиктограмм и символов;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для видеосвязи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текстовой и видеосвязи в режиме реального времени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преобразования текста в режиме реального времени (включая смартфоны с невизуальным доступом);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тифлокомпьютеры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рисования и рукописи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22 12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Мольберты, доски для письма;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ручки, карандаши, фломастеры, пальчиковые краски, гуашь, акварель, мелки, пастель, линейки;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ручки и грифели для письма по Брайлю, уплотненная бумага для письма тактильным шрифтом;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для раскрашивания рисунков (картинок)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Коммуникаторы; дидактические карточки с различными эмоциями; демонстрационные плакаты и альбомы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 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тренировки рук, тренировки туловища и тренировки ног (средства для развития мелкой и общей моторики)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04 48 15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для тренировки верхних конечностей (по типу "Лесенка", "Елочка", "Мануфит");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сенсорная тропа для ног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в сфере искусства</w:t>
            </w:r>
          </w:p>
        </w:tc>
        <w:tc>
          <w:tcPr>
            <w:tcW w:w="1530" w:type="dxa"/>
            <w:vMerge w:val="restart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05 24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Фломастеры, пальчиковые краски, гуашь, акварель, мелки, пастель, кисти, карандаши, линейки, циркуль, фигурные трафареты;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метрономы;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нотные тетради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Декорации; хореографический станок;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музыкальные инструменты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исполнения музыкальных произведений и сочинения музыки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30 12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музыкальные инструменты (гитара, синтезатор, барабанная установка);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метрономы;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нотные тетради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занятий фотографией, кино- и видеосъемкой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30 15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Фото-, видеокамеры;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объективы для съемки (макро, портретные, пейзажные и другие)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Инструменты, материалы и оборудование для ремесла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30 18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для шитья, росписи по дереву, плетения корзин;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глина и паста для лепки; наборы для плетения бусинами (бисером);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наглядные пособия по изобразительному искусству и мировой художественной культуре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Держатели (адаптеры) и приспособления для захвата (изделий, предметов)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59" w:tooltip="Ссылка на КонсультантПлюс">
              <w:r>
                <w:rPr>
                  <w:sz w:val="24"/>
                  <w:color w:val="0000ff"/>
                </w:rPr>
                <w:t xml:space="preserve">24 18 06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Держатели для канцелярских предметов (шариковых ручек, карандашей, кисточек)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5" w:tooltip="ЦРГ 4.4 - инвалиды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средства, записывающие, воспроизводящие и отображающие звуко- и видеоинформацию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hyperlink w:history="0" r:id="rId60" w:tooltip="Ссылка на КонсультантПлюс">
              <w:r>
                <w:rPr>
                  <w:sz w:val="24"/>
                  <w:color w:val="0000ff"/>
                </w:rPr>
                <w:t xml:space="preserve">22 18</w:t>
              </w:r>
            </w:hyperlink>
          </w:p>
        </w:tc>
        <w:tc>
          <w:tcPr>
            <w:tcW w:w="47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Видеомагнитофоны, медиаплееры;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моноблоки; цифровые видеокамеры;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внешние накопители информации; телевизоры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  <w:jc w:val="both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974" w:name="P2974"/>
    <w:bookmarkEnd w:id="29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Наименования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6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2975" w:name="P2975"/>
    <w:bookmarkEnd w:id="29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2976" w:name="P2976"/>
    <w:bookmarkEnd w:id="29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Наименование вспомогательных средств и код подкласса приведены в соответствии с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58"/>
        <w:gridCol w:w="2268"/>
        <w:gridCol w:w="277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56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диагностика: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Практический материал для проведения психолого-педагогического обследования детей (С.Д. Забрамная, О.В. Боровик)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Психолого-педагогическая диагностика (И.Ю. Левченко, С.Д. Забрамная, Т.А. Добровольская и другие)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"Графический диктант" (варианты Д.Б. Эльконина; Л.А. Венгера)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3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Для всех указанных ЦРГ (кроме </w:t>
            </w: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2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) данная методика используется с целью оценки графомоторных навыков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не используется при проведении диагностики, если в структуре дефекта инвалидов данных ЦРГ выявлено нарушение зрительных функций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Дидактический материал по обследованию речи детей (Т.П. Бессонова, О.Е. Грибова)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уровня сформированности навыка письма (Г.В. Чиркина)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3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</w:pP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состояния звукопроизношения (Г.В. Чиркина, О.Е. Грибова)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Адаптированный вариант предъявления методик, с опорой на сохранные анализаторные системы (при необходимости):</w:t>
            </w:r>
          </w:p>
          <w:p>
            <w:pPr>
              <w:pStyle w:val="0"/>
            </w:pP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Коррекционные методики: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мышления у детей с отклонениями в развитии. Наглядный материал (Е.А. Стребелева)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Психолого-педагогическая коррекция: теоретико-методологический аспект (Е.М. Скотарева)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альтернативной коммуникации посредством электронных устройств для альтернативной коммуникации </w:t>
            </w:r>
            <w:hyperlink w:history="0" r:id="rId64" w:tooltip="Ссылка на КонсультантПлюс">
              <w:r>
                <w:rPr>
                  <w:sz w:val="24"/>
                  <w:color w:val="0000ff"/>
                </w:rPr>
                <w:t xml:space="preserve">(код 22 21)</w:t>
              </w:r>
            </w:hyperlink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альтернативной, поддерживающей и дополнительной (невербальной) коммуникации (</w:t>
            </w:r>
            <w:hyperlink w:history="0" r:id="rId65" w:tooltip="Ссылка на КонсультантПлюс">
              <w:r>
                <w:rPr>
                  <w:sz w:val="24"/>
                  <w:color w:val="0000ff"/>
                </w:rPr>
                <w:t xml:space="preserve">код 05 06 06</w:t>
              </w:r>
            </w:hyperlink>
            <w:r>
              <w:rPr>
                <w:sz w:val="24"/>
              </w:rPr>
              <w:t xml:space="preserve">, </w:t>
            </w:r>
            <w:hyperlink w:history="0" r:id="rId66" w:tooltip="Ссылка на КонсультантПлюс">
              <w:r>
                <w:rPr>
                  <w:sz w:val="24"/>
                  <w:color w:val="0000ff"/>
                </w:rPr>
                <w:t xml:space="preserve">05 06 21</w:t>
              </w:r>
            </w:hyperlink>
            <w:r>
              <w:rPr>
                <w:sz w:val="24"/>
              </w:rPr>
              <w:t xml:space="preserve">, </w:t>
            </w:r>
            <w:hyperlink w:history="0" r:id="rId67" w:tooltip="Ссылка на КонсультантПлюс">
              <w:r>
                <w:rPr>
                  <w:sz w:val="24"/>
                  <w:color w:val="0000ff"/>
                </w:rPr>
                <w:t xml:space="preserve">05 06 27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;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;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;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коррекционно-логопедической работы (Е.Ф. Архипова)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Логопедическая ритмика (Г.А. Волкова)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19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5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Инклюзивный танец и танцевальная реабилитация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hyperlink w:history="0" w:anchor="P101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5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10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8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Пособия для специалистов по социально-педагогической реабилитации и абилитации инвалидов: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Бурлакова, М.К. Коррекционно-педагогическая работа при афазиях. - Москва: Просвещение, 1991. - 192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Визель, Т.Г. Как вернуть речь. - Издательство: В. Секачев, 2018. - 216 с. Шкловский В.М., Визель Т.Г. Восстановление речевой функции у больных с разными формами афазии. М.: "Ассоциация дефектологов", В. Секачев, 2000. - 96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Королева, И.В. Реабилитация глухих детей и взрослых после кохлеарной и стволомозговой имплантации. - СПб.: КАРО, 2016. - 872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Методика обучения поздноослепших чтению и письму по системе Брайля: учебно-методическое пособие/составители: Н.А. Соломенна, Ю.Я., Макогон. - Сургут: Изд-во бюджетного учреждения Ханты-Мансийского автономного округа - Югры "Методический центр развития социального обслуживания", 2017. - 56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Методические рекомендации по использованию альтернативной и дополнительной коммуникации (АДК) в стационарных учреждениях социального обслуживания/под ред. О.В. Караневской - Москва: Теревинф, 2022. - 252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Методические рекомендации по организации образовательной деятельности инвалидов с нарушениями слуха/автономное учреждение дополнительного профессионального образования Ханты-Мансийского автономного округа - Югры "Институт развития образования"/под общ. ред. Л.М. Беткер. - Ханты-Мансийск: ПРО, 2017. - 48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Методическое пособие по обучению взрослых слепоглухих пользованию современными компьютерными технологиями: пособие подготовлено авторским коллективом Центра реабилитации слепых ВОС, г. Волоколамска. Предназначено для реабилитологов, руководителей предприятий ВОС, 2016. - 109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Невизуальная доступность сенсорных устройств под управлением iOS. КСРК ВОС; Методические рекомендации для преподавателей (2 издание)/С.А. Боткина, М.В. Олейников, А.В. Пиленков, А.С. Прыхненко. - Москва, КСРК ВОС, 2019 - 76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Овчинникова, Т.С., Калягин В.А. Энциклопедия методов психолого-педагогической диагностики лиц с нарушениями речи. Практикум. - Москва: КАРО, 2013.-432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Петров, Ю.И. Обучение взрослых слепых письму и чтению по Брайлю: методическое пособие. - Москва: ВОС, 1998. - 25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Потешина, М.Б. Практическое руководство по освоению системы Брайля для поздно ослепших/М.Б. Потешина. - М.: Репро, 2008. - 2 кн.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Течнер, С., Мартинсен, Х. Введение в дополнительную и альтернативную коммуникацию: жесты и графические символы для людей с двигательными и интеллектуальными нарушениями, а также с расстройствами аутистического спектра. - Москва: Теревинф, 2018. - 432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Тупоногов, Б.К. Теоретические основы тифлопедагогики: учебное пособие. - Москва: АПК и ПРО, 2001. - 420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Цветкова, Л.С. Афазия и восстановительное обучение: Учеб. пособие для студентов дефектологических факультетов педагогических институтов.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Москва: Просвещение, 1988. - 207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Шохор-Троцкая, М.К. Логопедическая работа при афазии на раннем этапе восстановления. - Москва: Медицина, 1972. - 140 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Штягинова, Е.А. Альтернативная коммуникация: Методический сборник//Городская общественная организация инвалидов "Общество "Даун синдром". - Новосибирск: 2012. - 30 с.</w:t>
      </w:r>
    </w:p>
    <w:p>
      <w:pPr>
        <w:pStyle w:val="0"/>
        <w:jc w:val="both"/>
      </w:pPr>
      <w:r>
        <w:rPr>
          <w:sz w:val="24"/>
        </w:rPr>
      </w:r>
    </w:p>
    <w:bookmarkStart w:id="3065" w:name="P3065"/>
    <w:bookmarkEnd w:id="3065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50. Показателями качества и оценки результативности реализации услуги,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социально-педагогическая диагностика первичная (входящая), а по завершении - социально-педагогическая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социально-педагогической диагностики используется протокол оценки эффективности проведенного курса социально-педагогической реабилитации и абилитации инвалида, представленный в </w:t>
      </w:r>
      <w:hyperlink w:history="0" w:anchor="P3160" w:tooltip="51. Протокол оценки эффективности проведенного курса социально-педагогической реабилитации и абилитации.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социально-педагогической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обучению;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социально-педагогической диагностики первичной (входящей) определяются конкретные цели на курс социально-педагогической реабилитации и абилитации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социально-педагогическая диагностика повторная (контрольная),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952"/>
        <w:gridCol w:w="849"/>
        <w:gridCol w:w="849"/>
        <w:gridCol w:w="851"/>
      </w:tblGrid>
      <w:tr>
        <w:tc>
          <w:tcPr>
            <w:gridSpan w:val="2"/>
            <w:tcW w:w="65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реализованной услуги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51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25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(социально-педагогическая диагностика первичная (входящая), социально-педагогическая диагностика повторная (контрольная), информирование, консультирование, практические занятия)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 насколько полно были реализованы конкретные цели, определенные при социально-педагогической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социально-педагогической диагностики первичной (входящей) и социально-педагогической диагностики повторной (контрольной)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числа,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61"/>
        <w:gridCol w:w="3024"/>
      </w:tblGrid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оценки результативности оказанной услуги все полученные баллы суммируются.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проводимой социально-педагогической реабилитации и абилитации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К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 если общее количество баллов составляет 4 и более баллов. Если общее количество баллов менее 4, то социально-педагогическая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социально-педагогической диагностики первичной (входящей) и социально-педагогической диагностики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реабилитации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jc w:val="both"/>
      </w:pPr>
      <w:r>
        <w:rPr>
          <w:sz w:val="24"/>
        </w:rPr>
      </w:r>
    </w:p>
    <w:bookmarkStart w:id="3160" w:name="P3160"/>
    <w:bookmarkEnd w:id="3160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51. Протокол оценки эффективности проведенного курса социально-педагогической реабилитации и абилитации.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1"/>
        <w:gridCol w:w="985"/>
        <w:gridCol w:w="985"/>
        <w:gridCol w:w="985"/>
        <w:gridCol w:w="985"/>
        <w:gridCol w:w="985"/>
        <w:gridCol w:w="985"/>
        <w:gridCol w:w="985"/>
        <w:gridCol w:w="985"/>
        <w:gridCol w:w="985"/>
        <w:gridCol w:w="994"/>
      </w:tblGrid>
      <w:tr>
        <w:tc>
          <w:tcPr>
            <w:tcW w:w="39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9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социально-педагогической диагностики первичной (входящей) (в баллах)</w:t>
            </w:r>
          </w:p>
        </w:tc>
        <w:tc>
          <w:tcPr>
            <w:gridSpan w:val="5"/>
            <w:tcW w:w="4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социально-педагогической диагностики повторной (контрольной)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911" w:type="dxa"/>
          </w:tcPr>
          <w:p>
            <w:pPr>
              <w:pStyle w:val="0"/>
              <w:ind w:left="566"/>
            </w:pPr>
            <w:r>
              <w:rPr>
                <w:sz w:val="24"/>
              </w:rPr>
              <w:t xml:space="preserve">b 160 Функции мышления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770" w:type="dxa"/>
          </w:tcPr>
          <w:p>
            <w:pPr>
              <w:pStyle w:val="0"/>
              <w:ind w:left="566"/>
            </w:pPr>
            <w:r>
              <w:rPr>
                <w:sz w:val="24"/>
              </w:rPr>
              <w:t xml:space="preserve">b 310 Функции голоса</w:t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b 3100 Голосообразование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b 3101 Качество голоса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ind w:left="566"/>
            </w:pPr>
            <w:r>
              <w:rPr>
                <w:sz w:val="24"/>
              </w:rPr>
              <w:t xml:space="preserve">b 320 Функции артикуляции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330 Функции беглости и ритма речи</w:t>
            </w:r>
          </w:p>
        </w:tc>
        <w:tc>
          <w:tcPr>
            <w:gridSpan w:val="10"/>
            <w:tcW w:w="9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b 3300 Беглость речи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b 3301 Ритм речи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b 3302 Скорость речи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b 3303 Мелодичность речи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155 Приобретение практических навыков</w:t>
            </w:r>
          </w:p>
        </w:tc>
        <w:tc>
          <w:tcPr>
            <w:gridSpan w:val="10"/>
            <w:tcW w:w="9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d 1550 Приобретение базисных навыков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d 1551 Приобретение комплексных навыков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160 Концентрация внимания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163 Мышление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172 Вычисление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335 Составление и изложение сообщений в невербальной форме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350 Разговор</w:t>
            </w:r>
          </w:p>
        </w:tc>
        <w:tc>
          <w:tcPr>
            <w:gridSpan w:val="10"/>
            <w:tcW w:w="9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d 3500 Начало разговора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d 3501 Поддержание разговора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d 3502 Завершение разговора (диалога)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10"/>
            <w:tcW w:w="9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d 3600 Использование телекоммуникационных устройств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d 3602 Использование техник общения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(в частности, чтение по губам) (оценивается только у лиц с нарушением слуха (для лиц без нарушения слуха в данной категории МКФ присваивается оценка 0 - "нет нарушений")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0"/>
            <w:tcW w:w="9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730 Отношения с незнакомыми людьми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0"/>
            <w:tcW w:w="9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7400 Отношения с людьми, обладающими властью и авторитетом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825 Профессиональное обучение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830 Высшее образование</w:t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77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 (a)</w:t>
            </w:r>
          </w:p>
        </w:tc>
        <w:tc>
          <w:tcPr>
            <w:gridSpan w:val="5"/>
            <w:tcW w:w="49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по услуге (R)</w:t>
            </w:r>
          </w:p>
        </w:tc>
        <w:tc>
          <w:tcPr>
            <w:gridSpan w:val="5"/>
            <w:tcW w:w="4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39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9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___/____ * 100% =</w:t>
            </w:r>
          </w:p>
        </w:tc>
        <w:tc>
          <w:tcPr>
            <w:gridSpan w:val="5"/>
            <w:tcW w:w="49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tcW w:w="492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9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2"/>
      <w:headerReference w:type="first" r:id="rId32"/>
      <w:footerReference w:type="default" r:id="rId33"/>
      <w:footerReference w:type="first" r:id="rId3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26.05.2025 N 330н</w:t>
            <w:br/>
            <w:t>"Об утверждении Стандарта оказания услуги по социально-педагогической реабил...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26.05.2025 N 330н</w:t>
            <w:br/>
            <w:t>"Об утверждении Стандарта оказания услуги по социально-педагогической реабил...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1&amp;field=134" TargetMode = "External"/>
	<Relationship Id="rId9" Type="http://schemas.openxmlformats.org/officeDocument/2006/relationships/hyperlink" Target="https://login.consultant.ru/link/?req=doc&amp;base=LAW&amp;n=481937&amp;date=18.09.2025&amp;dst=100029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5&amp;field=134" TargetMode = "External"/>
	<Relationship Id="rId12" Type="http://schemas.openxmlformats.org/officeDocument/2006/relationships/hyperlink" Target="https://login.consultant.ru/link/?req=doc&amp;base=LAW&amp;n=485034&amp;date=18.09.2025&amp;dst=100035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66207&amp;date=18.09.2025" TargetMode = "External"/>
	<Relationship Id="rId19" Type="http://schemas.openxmlformats.org/officeDocument/2006/relationships/hyperlink" Target="https://login.consultant.ru/link/?req=doc&amp;base=LAW&amp;n=491714&amp;date=18.09.2025&amp;dst=100080&amp;field=134" TargetMode = "External"/>
	<Relationship Id="rId20" Type="http://schemas.openxmlformats.org/officeDocument/2006/relationships/hyperlink" Target="https://login.consultant.ru/link/?req=doc&amp;base=LAW&amp;n=485034&amp;date=18.09.2025" TargetMode = "External"/>
	<Relationship Id="rId21" Type="http://schemas.openxmlformats.org/officeDocument/2006/relationships/hyperlink" Target="https://login.consultant.ru/link/?req=doc&amp;base=OTN&amp;n=26841&amp;date=18.09.2025" TargetMode = "External"/>
	<Relationship Id="rId22" Type="http://schemas.openxmlformats.org/officeDocument/2006/relationships/hyperlink" Target="https://login.consultant.ru/link/?req=doc&amp;base=LAW&amp;n=334930&amp;date=18.09.2025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yperlink" Target="https://login.consultant.ru/link/?req=doc&amp;base=LAW&amp;n=485034&amp;date=18.09.2025&amp;dst=101484&amp;field=134" TargetMode = "External"/>
	<Relationship Id="rId25" Type="http://schemas.openxmlformats.org/officeDocument/2006/relationships/hyperlink" Target="https://login.consultant.ru/link/?req=doc&amp;base=LAW&amp;n=485034&amp;date=18.09.2025&amp;dst=100013&amp;field=134" TargetMode = "External"/>
	<Relationship Id="rId26" Type="http://schemas.openxmlformats.org/officeDocument/2006/relationships/hyperlink" Target="https://login.consultant.ru/link/?req=doc&amp;base=LAW&amp;n=491714&amp;date=18.09.2025&amp;dst=100080&amp;field=134" TargetMode = "External"/>
	<Relationship Id="rId27" Type="http://schemas.openxmlformats.org/officeDocument/2006/relationships/hyperlink" Target="https://login.consultant.ru/link/?req=doc&amp;base=LAW&amp;n=491714&amp;date=18.09.2025" TargetMode = "External"/>
	<Relationship Id="rId28" Type="http://schemas.openxmlformats.org/officeDocument/2006/relationships/hyperlink" Target="https://login.consultant.ru/link/?req=doc&amp;base=LAW&amp;n=511226&amp;date=18.09.2025&amp;dst=252&amp;field=134" TargetMode = "External"/>
	<Relationship Id="rId29" Type="http://schemas.openxmlformats.org/officeDocument/2006/relationships/hyperlink" Target="https://login.consultant.ru/link/?req=doc&amp;base=OTN&amp;n=26669&amp;date=18.09.2025" TargetMode = "External"/>
	<Relationship Id="rId30" Type="http://schemas.openxmlformats.org/officeDocument/2006/relationships/hyperlink" Target="https://login.consultant.ru/link/?req=doc&amp;base=LAW&amp;n=334929&amp;date=18.09.2025" TargetMode = "External"/>
	<Relationship Id="rId31" Type="http://schemas.openxmlformats.org/officeDocument/2006/relationships/hyperlink" Target="https://login.consultant.ru/link/?req=doc&amp;base=LAW&amp;n=485034&amp;date=18.09.2025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OTN&amp;n=26841&amp;date=18.09.2025&amp;dst=100627&amp;field=134" TargetMode = "External"/>
	<Relationship Id="rId35" Type="http://schemas.openxmlformats.org/officeDocument/2006/relationships/hyperlink" Target="https://login.consultant.ru/link/?req=doc&amp;base=OTN&amp;n=26841&amp;date=18.09.2025&amp;dst=100631&amp;field=134" TargetMode = "External"/>
	<Relationship Id="rId36" Type="http://schemas.openxmlformats.org/officeDocument/2006/relationships/hyperlink" Target="https://login.consultant.ru/link/?req=doc&amp;base=OTN&amp;n=26841&amp;date=18.09.2025&amp;dst=100631&amp;field=134" TargetMode = "External"/>
	<Relationship Id="rId37" Type="http://schemas.openxmlformats.org/officeDocument/2006/relationships/hyperlink" Target="https://login.consultant.ru/link/?req=doc&amp;base=OTN&amp;n=26841&amp;date=18.09.2025&amp;dst=100634&amp;field=134" TargetMode = "External"/>
	<Relationship Id="rId38" Type="http://schemas.openxmlformats.org/officeDocument/2006/relationships/hyperlink" Target="https://login.consultant.ru/link/?req=doc&amp;base=OTN&amp;n=26841&amp;date=18.09.2025&amp;dst=100666&amp;field=134" TargetMode = "External"/>
	<Relationship Id="rId39" Type="http://schemas.openxmlformats.org/officeDocument/2006/relationships/hyperlink" Target="https://login.consultant.ru/link/?req=doc&amp;base=OTN&amp;n=26841&amp;date=18.09.2025&amp;dst=100899&amp;field=134" TargetMode = "External"/>
	<Relationship Id="rId40" Type="http://schemas.openxmlformats.org/officeDocument/2006/relationships/hyperlink" Target="https://login.consultant.ru/link/?req=doc&amp;base=OTN&amp;n=26841&amp;date=18.09.2025&amp;dst=100774&amp;field=134" TargetMode = "External"/>
	<Relationship Id="rId41" Type="http://schemas.openxmlformats.org/officeDocument/2006/relationships/hyperlink" Target="https://login.consultant.ru/link/?req=doc&amp;base=OTN&amp;n=26841&amp;date=18.09.2025&amp;dst=100797&amp;field=134" TargetMode = "External"/>
	<Relationship Id="rId42" Type="http://schemas.openxmlformats.org/officeDocument/2006/relationships/hyperlink" Target="https://login.consultant.ru/link/?req=doc&amp;base=OTN&amp;n=26841&amp;date=18.09.2025&amp;dst=100707&amp;field=134" TargetMode = "External"/>
	<Relationship Id="rId43" Type="http://schemas.openxmlformats.org/officeDocument/2006/relationships/hyperlink" Target="https://login.consultant.ru/link/?req=doc&amp;base=OTN&amp;n=26841&amp;date=18.09.2025&amp;dst=100742&amp;field=134" TargetMode = "External"/>
	<Relationship Id="rId44" Type="http://schemas.openxmlformats.org/officeDocument/2006/relationships/hyperlink" Target="https://login.consultant.ru/link/?req=doc&amp;base=OTN&amp;n=26841&amp;date=18.09.2025&amp;dst=100842&amp;field=134" TargetMode = "External"/>
	<Relationship Id="rId45" Type="http://schemas.openxmlformats.org/officeDocument/2006/relationships/hyperlink" Target="https://login.consultant.ru/link/?req=doc&amp;base=OTN&amp;n=26841&amp;date=18.09.2025&amp;dst=100867&amp;field=134" TargetMode = "External"/>
	<Relationship Id="rId46" Type="http://schemas.openxmlformats.org/officeDocument/2006/relationships/hyperlink" Target="https://login.consultant.ru/link/?req=doc&amp;base=OTN&amp;n=26841&amp;date=18.09.2025&amp;dst=100967&amp;field=134" TargetMode = "External"/>
	<Relationship Id="rId47" Type="http://schemas.openxmlformats.org/officeDocument/2006/relationships/hyperlink" Target="https://login.consultant.ru/link/?req=doc&amp;base=OTN&amp;n=26841&amp;date=18.09.2025&amp;dst=103092&amp;field=134" TargetMode = "External"/>
	<Relationship Id="rId48" Type="http://schemas.openxmlformats.org/officeDocument/2006/relationships/hyperlink" Target="https://login.consultant.ru/link/?req=doc&amp;base=OTN&amp;n=26841&amp;date=18.09.2025&amp;dst=103267&amp;field=134" TargetMode = "External"/>
	<Relationship Id="rId49" Type="http://schemas.openxmlformats.org/officeDocument/2006/relationships/hyperlink" Target="https://login.consultant.ru/link/?req=doc&amp;base=OTN&amp;n=26841&amp;date=18.09.2025&amp;dst=103303&amp;field=134" TargetMode = "External"/>
	<Relationship Id="rId50" Type="http://schemas.openxmlformats.org/officeDocument/2006/relationships/hyperlink" Target="https://login.consultant.ru/link/?req=doc&amp;base=OTN&amp;n=26841&amp;date=18.09.2025&amp;dst=103164&amp;field=134" TargetMode = "External"/>
	<Relationship Id="rId51" Type="http://schemas.openxmlformats.org/officeDocument/2006/relationships/hyperlink" Target="https://login.consultant.ru/link/?req=doc&amp;base=OTN&amp;n=26841&amp;date=18.09.2025&amp;dst=103200&amp;field=134" TargetMode = "External"/>
	<Relationship Id="rId52" Type="http://schemas.openxmlformats.org/officeDocument/2006/relationships/hyperlink" Target="https://login.consultant.ru/link/?req=doc&amp;base=OTN&amp;n=26841&amp;date=18.09.2025&amp;dst=103050&amp;field=134" TargetMode = "External"/>
	<Relationship Id="rId53" Type="http://schemas.openxmlformats.org/officeDocument/2006/relationships/hyperlink" Target="https://login.consultant.ru/link/?req=doc&amp;base=OTN&amp;n=26841&amp;date=18.09.2025&amp;dst=100941&amp;field=134" TargetMode = "External"/>
	<Relationship Id="rId54" Type="http://schemas.openxmlformats.org/officeDocument/2006/relationships/hyperlink" Target="https://login.consultant.ru/link/?req=doc&amp;base=OTN&amp;n=26841&amp;date=18.09.2025&amp;dst=100745&amp;field=134" TargetMode = "External"/>
	<Relationship Id="rId55" Type="http://schemas.openxmlformats.org/officeDocument/2006/relationships/hyperlink" Target="https://login.consultant.ru/link/?req=doc&amp;base=OTN&amp;n=26841&amp;date=18.09.2025&amp;dst=100918&amp;field=134" TargetMode = "External"/>
	<Relationship Id="rId56" Type="http://schemas.openxmlformats.org/officeDocument/2006/relationships/hyperlink" Target="https://login.consultant.ru/link/?req=doc&amp;base=OTN&amp;n=26841&amp;date=18.09.2025&amp;dst=104013&amp;field=134" TargetMode = "External"/>
	<Relationship Id="rId57" Type="http://schemas.openxmlformats.org/officeDocument/2006/relationships/hyperlink" Target="https://login.consultant.ru/link/?req=doc&amp;base=OTN&amp;n=26841&amp;date=18.09.2025&amp;dst=104018&amp;field=134" TargetMode = "External"/>
	<Relationship Id="rId58" Type="http://schemas.openxmlformats.org/officeDocument/2006/relationships/hyperlink" Target="https://login.consultant.ru/link/?req=doc&amp;base=OTN&amp;n=26841&amp;date=18.09.2025&amp;dst=104022&amp;field=134" TargetMode = "External"/>
	<Relationship Id="rId59" Type="http://schemas.openxmlformats.org/officeDocument/2006/relationships/hyperlink" Target="https://login.consultant.ru/link/?req=doc&amp;base=OTN&amp;n=26841&amp;date=18.09.2025&amp;dst=103468&amp;field=134" TargetMode = "External"/>
	<Relationship Id="rId60" Type="http://schemas.openxmlformats.org/officeDocument/2006/relationships/hyperlink" Target="https://login.consultant.ru/link/?req=doc&amp;base=OTN&amp;n=26841&amp;date=18.09.2025&amp;dst=103104&amp;field=134" TargetMode = "External"/>
	<Relationship Id="rId61" Type="http://schemas.openxmlformats.org/officeDocument/2006/relationships/hyperlink" Target="https://login.consultant.ru/link/?req=doc&amp;base=LAW&amp;n=485034&amp;date=18.09.2025" TargetMode = "External"/>
	<Relationship Id="rId62" Type="http://schemas.openxmlformats.org/officeDocument/2006/relationships/hyperlink" Target="https://login.consultant.ru/link/?req=doc&amp;base=OTN&amp;n=26841&amp;date=18.09.2025" TargetMode = "External"/>
	<Relationship Id="rId63" Type="http://schemas.openxmlformats.org/officeDocument/2006/relationships/hyperlink" Target="https://login.consultant.ru/link/?req=doc&amp;base=OTN&amp;n=26841&amp;date=18.09.2025" TargetMode = "External"/>
	<Relationship Id="rId64" Type="http://schemas.openxmlformats.org/officeDocument/2006/relationships/hyperlink" Target="https://login.consultant.ru/link/?req=doc&amp;base=OTN&amp;n=26841&amp;date=18.09.2025&amp;dst=103164&amp;field=134" TargetMode = "External"/>
	<Relationship Id="rId65" Type="http://schemas.openxmlformats.org/officeDocument/2006/relationships/hyperlink" Target="https://login.consultant.ru/link/?req=doc&amp;base=OTN&amp;n=26841&amp;date=18.09.2025&amp;dst=100805&amp;field=134" TargetMode = "External"/>
	<Relationship Id="rId66" Type="http://schemas.openxmlformats.org/officeDocument/2006/relationships/hyperlink" Target="https://login.consultant.ru/link/?req=doc&amp;base=OTN&amp;n=26841&amp;date=18.09.2025&amp;dst=100820&amp;field=134" TargetMode = "External"/>
	<Relationship Id="rId67" Type="http://schemas.openxmlformats.org/officeDocument/2006/relationships/hyperlink" Target="https://login.consultant.ru/link/?req=doc&amp;base=OTN&amp;n=26841&amp;date=18.09.2025&amp;dst=10082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26.05.2025 N 330н
"Об утверждении Стандарта оказания услуги по социально-педагогической реабилитации и абилитации инвалидов"
(Зарегистрировано в Минюсте России 24.06.2025 N 82699)</dc:title>
  <dcterms:created xsi:type="dcterms:W3CDTF">2025-09-18T03:55:47Z</dcterms:created>
</cp:coreProperties>
</file>