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10.04.2025 N 196н</w:t>
              <w:br/>
              <w:t xml:space="preserve">"Об утверждении Стандарта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действиями"</w:t>
              <w:br/>
              <w:t xml:space="preserve">(Зарегистрировано в Минюсте России 15.05.2025 N 82192)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15 мая 2025 г. N 82192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апреля 2025 г. N 196н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апреля 2025 г. N 196н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инвалиду информации по вопросам, относящимся к социально-психологической реабилитации (изложение целей, задач, содержания мероприятий по социально-психологической реабилитации инвалидов, ожидаемых результатах; об организациях, реализующих мероприятия по социально-психологической реабилитации и другое) с целью повышения уровня осведомленности инвалида,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 психофизиологического функционирования, обуславливающих ОЖД (ограничение способности к самообслуживанию, способности к общению, способности к ориентации, способности к обучению, способности к самостоятельному передвижению, способности контролировать свое поведение, способности к трудовой деятельности). Определяется реабилитационной организацией при проведении социально-психологической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(социальное-психологическое) - реабилитационное мероприятие в формате индивидуальной беседы с инвалидом в целях разрешения его психологических проблем, в том числе обусловленных инвалидностью, в различных сферах: межличностных и семейных отношений, профессиональной самореализации, дезадаптивных психоэмоциональных состояний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составляющий услугу по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восстановление,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(социально-психологического)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(психологическая коррекция) - реабилитационное мероприятие в индивидуальной и групповой форме, направленное на коррекцию (восстановление, формирование, развитие) высших психических функций, личностных качеств, характера межличностных взаимодействий, поведения и эмоций посредством психологических, пато- или нейрокоррекционных методик, психотерапевтических практик, а также аппаратно-программных методов;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психологический тренинг - реабилитационное мероприятие, которое как групповая форма активного обучения направлено на формирование и (или) отработку психологических навыков и перепрограммирование имеющейся модели управления поведением и деятельностью в целях достижения адаптивного социального функционирования;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ПТСР - посттравматическое стрессовое расстройство;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(ТСР,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социально-психологической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приверженность - психологическая направленность инвалида на реабилитацию, активность и участие в социальном восстановлении в различных сферах жизнедеятельности (в быту, в межличностном общении, в труде, обучении, социокультурной среде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(социально-психологического) статуса инвалида (его активности и участия) после получения услуги по социально-психологической реабилитации и абилитации, определяемые путем сопоставления актуального состояния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- мероприятие, направленное на оценку социально-психологического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первичная (входящая) - реабилитационное мероприятие, направленное на исследование психической деятельности инвалида с целью выявления нарушений высших психических функций, нейродинамических, эмоционально-волевых и личностных особенностей, с применением валидных и апробированных методов диагностики (пато- или нейропсихологических методик, личностных тестов и аппаратно-программных методов), для постановки конкретной цели реабилитации и абилитации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повторная (контрольная) - реабилитационное мероприятие по окончании курса реабилитации, направленное на исследование психической деятельности инвалида с целью определения динамических изменений оцениваемых показателей, влияющих на достижение цели реабилитации (высших психических функций, нейродинамических, эмоционально-волевых и личностных особенностей), с применением валидных и апробированных методов диагностики (пато- или нейропсихологических методик, личностных тестов и аппаратно-программных методов), используемых при проведении входящей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инвалида к реализации жизнедеятельности в различных сферах (межличностной, трудовой, социокультурной и другим);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социально-психологическое просвещение - реабилитационное мероприятие, направленное на повышение реабилитационной компетентности и реабилитационной приверженности в целом у инвалида и его семьи с целью социальной адаптации и интеграции инвалида в общество. Проведение мероприятия предполагает тематические вебинары, лекции, распространение тематических информационных брошюр, раздаточного материала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самообслуживанию - способность человека самостоятельно осуществлять основные физиологические потребности, выполнять повседневную бытовую деятельность, в том числе использовать навыки личной гигиены;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4" w:name="P104"/>
    <w:bookmarkEnd w:id="104"/>
    <w:p>
      <w:pPr>
        <w:pStyle w:val="0"/>
        <w:spacing w:before="240" w:line-rule="auto"/>
        <w:jc w:val="both"/>
      </w:pPr>
      <w:r>
        <w:rPr>
          <w:sz w:val="24"/>
        </w:rPr>
        <w:t xml:space="preserve">ЦРГ 12 - инвалиды, получившие ранение (травму, контузию, увечье) или заболевание в связи с участием в боевых действиях;</w:t>
      </w:r>
    </w:p>
    <w:bookmarkStart w:id="105" w:name="P105"/>
    <w:bookmarkEnd w:id="105"/>
    <w:p>
      <w:pPr>
        <w:pStyle w:val="0"/>
        <w:spacing w:before="240" w:line-rule="auto"/>
        <w:jc w:val="both"/>
      </w:pPr>
      <w:r>
        <w:rPr>
          <w:sz w:val="24"/>
        </w:rPr>
        <w:t xml:space="preserve">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</w:t>
      </w:r>
    </w:p>
    <w:bookmarkStart w:id="106" w:name="P106"/>
    <w:bookmarkEnd w:id="106"/>
    <w:p>
      <w:pPr>
        <w:pStyle w:val="0"/>
        <w:spacing w:before="240" w:line-rule="auto"/>
        <w:jc w:val="both"/>
      </w:pPr>
      <w:r>
        <w:rPr>
          <w:sz w:val="24"/>
        </w:rPr>
        <w:t xml:space="preserve">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</w:t>
      </w:r>
    </w:p>
    <w:bookmarkStart w:id="107" w:name="P107"/>
    <w:bookmarkEnd w:id="107"/>
    <w:p>
      <w:pPr>
        <w:pStyle w:val="0"/>
        <w:spacing w:before="240" w:line-rule="auto"/>
        <w:jc w:val="both"/>
      </w:pPr>
      <w:r>
        <w:rPr>
          <w:sz w:val="24"/>
        </w:rPr>
        <w:t xml:space="preserve">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</w:t>
      </w:r>
    </w:p>
    <w:bookmarkStart w:id="108" w:name="P108"/>
    <w:bookmarkEnd w:id="108"/>
    <w:p>
      <w:pPr>
        <w:pStyle w:val="0"/>
        <w:spacing w:before="240" w:line-rule="auto"/>
        <w:jc w:val="both"/>
      </w:pPr>
      <w:r>
        <w:rPr>
          <w:sz w:val="24"/>
        </w:rPr>
        <w:t xml:space="preserve">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13 - инвалиды, получившие травму, ранение, контузию, увечье в связи с боевыми действиями;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13.7 -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bookmarkStart w:id="126" w:name="P126"/>
    <w:bookmarkEnd w:id="126"/>
    <w:p>
      <w:pPr>
        <w:pStyle w:val="0"/>
        <w:spacing w:before="240" w:line-rule="auto"/>
        <w:jc w:val="both"/>
      </w:pPr>
      <w:r>
        <w:rPr>
          <w:sz w:val="24"/>
        </w:rPr>
        <w:t xml:space="preserve">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27" w:name="P127"/>
    <w:bookmarkEnd w:id="127"/>
    <w:p>
      <w:pPr>
        <w:pStyle w:val="0"/>
        <w:spacing w:before="240" w:line-rule="auto"/>
        <w:jc w:val="both"/>
      </w:pPr>
      <w:r>
        <w:rPr>
          <w:sz w:val="24"/>
        </w:rPr>
        <w:t xml:space="preserve">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28" w:name="P128"/>
    <w:bookmarkEnd w:id="128"/>
    <w:p>
      <w:pPr>
        <w:pStyle w:val="0"/>
        <w:spacing w:before="240" w:line-rule="auto"/>
        <w:jc w:val="both"/>
      </w:pPr>
      <w:r>
        <w:rPr>
          <w:sz w:val="24"/>
        </w:rPr>
        <w:t xml:space="preserve">ЦРГ 13.10 - инвалиды, получившие травму, ранение, контузию, увечье в связи с боевыми действиями, вследствие поражения органа зрения;</w:t>
      </w:r>
    </w:p>
    <w:bookmarkStart w:id="129" w:name="P129"/>
    <w:bookmarkEnd w:id="129"/>
    <w:p>
      <w:pPr>
        <w:pStyle w:val="0"/>
        <w:spacing w:before="240" w:line-rule="auto"/>
        <w:jc w:val="both"/>
      </w:pPr>
      <w:r>
        <w:rPr>
          <w:sz w:val="24"/>
        </w:rPr>
        <w:t xml:space="preserve">ЦРГ 13.11 - инвалиды, получившие травму, ранение, контузию, увечье в связи с боевыми действиями, вследствие поражения органа слуха;</w:t>
      </w:r>
    </w:p>
    <w:bookmarkStart w:id="130" w:name="P130"/>
    <w:bookmarkEnd w:id="130"/>
    <w:p>
      <w:pPr>
        <w:pStyle w:val="0"/>
        <w:spacing w:before="240" w:line-rule="auto"/>
        <w:jc w:val="both"/>
      </w:pPr>
      <w:r>
        <w:rPr>
          <w:sz w:val="24"/>
        </w:rPr>
        <w:t xml:space="preserve">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31" w:name="P131"/>
    <w:bookmarkEnd w:id="131"/>
    <w:p>
      <w:pPr>
        <w:pStyle w:val="0"/>
        <w:spacing w:before="240" w:line-rule="auto"/>
        <w:jc w:val="both"/>
      </w:pPr>
      <w:r>
        <w:rPr>
          <w:sz w:val="24"/>
        </w:rPr>
        <w:t xml:space="preserve">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с сопровождающим лицом),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оборудования, предусмотренный стандартом, с учетом ЦРГ (</w:t>
      </w:r>
      <w:hyperlink w:history="0" w:anchor="P191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666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изолированно (как самостоятельная услуга в случае определения федеральными учреждениями МСЭ нуждаемости только в социально-психологической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данных реабилитационных (абилитационных)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одинаково для всех ЦРГ ввиду специфики инвалидности, полученной в условиях, связанных с боевыми действиями и (или) участием в них, а также особенностей самой услуги, показаниями для которой являются ОЖД всех категорий &lt;4&gt;.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91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666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 по отдельным основным направлениям комплексной реабилитации и абилитации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социально-психологической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("способность к самообслуживанию", "способность к самостоятельному передвижению", "способность к общению", "способность к ориентации", "способность контролировать свое поведение", "способность к обучению", "способность к трудовой деятельности") в соответствии с протоколом, представленным в </w:t>
      </w:r>
      <w:hyperlink w:history="0" w:anchor="P1491" w:tooltip="26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26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целей реабилитации и абилитации при оказании услуги осуществляется специалистами междисциплинарной команды; конкретные цели реабилитации и абилитации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430" w:tooltip="24. Показатели кратности реабилитационных мероприятий социально-психологической реабилитации и абилитации в соответствии с ЦРГ инвалида">
        <w:r>
          <w:rPr>
            <w:sz w:val="24"/>
            <w:color w:val="0000ff"/>
          </w:rPr>
          <w:t xml:space="preserve">пункт 24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(социально-психологической диагностики, информирования, консультирования, практических занятий, тренингов, просвещения),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реабилитационных мероприятий, входящих в состав услуги, не может быть меньше минимального времени, указанного в стандарте (</w:t>
      </w:r>
      <w:hyperlink w:history="0" w:anchor="P406" w:tooltip="23. Показатели продолжительности реабилитационных мероприятий социально-психологической реабилитации и абилитации">
        <w:r>
          <w:rPr>
            <w:sz w:val="24"/>
            <w:color w:val="0000ff"/>
          </w:rPr>
          <w:t xml:space="preserve">пункт 23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1393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социально-психологической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1" w:name="P191"/>
    <w:bookmarkEnd w:id="191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572"/>
        <w:gridCol w:w="362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21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11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ЦРГ 12.7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Врач-сексолог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587"/>
        <w:gridCol w:w="1531"/>
        <w:gridCol w:w="1644"/>
        <w:gridCol w:w="2778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врач-психиатр;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семейное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врач-сексолог;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социально-психологического анамнеза инвалида (с учетом доступности для инвалида диалогового взаимодействия), в том числе опрос, анкетирование (при необходимости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инвалида при помощи логопедических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симптомов посттравматических расстройств;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первичной социально-психологической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инвалида с указанием объема конкретных мероприятий, их количества, а также потребности сопровождения реабилитационного курса услугами сурдоперевода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инвалида, обусловленных военной травмой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построения оптимального взаимодействия с инвалидом (поиск компромиссного поведения, формирование толерантного (благожелательного, принимающего) отношения, инициация общения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инвалидов,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 и реабилитационных организаций, оказывающих услугу по социально-психологической реабилитации),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полученной военной травмой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самосознания, в том числе внутренней картины болезни и инвалидности (формирование гармоничного типа отношения к болезни с целью психологической адаптации к заболеванию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копинг-компетентности и коррекцию мотивационной, ценностно-смысловой сфер,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сферы, включая коррекцию психогенных реакций, сопровождающих травматическое расстройство (тревога, страх, гнев, агрессия (аутоагрессия)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полученную травму и инвалидность;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самоэффективности, потеря близких боевых товарищей, чувство вины выжившего, идентификация себя с убитыми, последствия пребывания в плену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негативными внутриличностными изменениями (изменение иерархии ценностей, временной направленности, трансформации "Я"-образа, преодоление неадекватных механизмов психологической защиты);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снятие или снижение остроты и интенсивности травматических переживаний;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поиск внешних и внутренних ресурсов для повышения функциональности и реабилитационной приверженности личности к социальному восстановлению;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целостности временной протяженности жизненной перспективы (прошлого - настоящего - будущего, с акцентом на формирование позитивной перспективы будущего);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восстановление, обретение нового смысла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работу с переживаниями инвалида по поводу изменения состояния здоровья и изменений внешности (при наличии беспокоящих инвалида внешних дефектов);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"Я"-физического образа (принятие посттравматических изменений в теле, на лице);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повторным хирургическим операциям, протезированию, в том числе слухопротезированию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восстановление, формирование социальных позиций (ролей) инвалида, искаженных полученной травмой и инвалидностью (профессиональной, семейной, супружеской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устранение проявлений агрессивного (аутоагрессивного) и деструктивного поведения, включая обучение методам самоконтроля;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трансформация негативных представлений о себе и об окружающем мире в адекватно-позитивные;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профилактику суицидального, аддиктивного поведения и другое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супружеских отношений, в том числе сексуальной дисгармонии (гармонизация супружеского взаимодействия), родительско-детских отношений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совладанию с реакциями на течение и последствия ранения, военной травмы,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психогенных реакций, сопровождающих травматическое расстройство (тревога, страх, гнев, агрессия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функции самоконтроля и саморегуляции;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инвалида, которое выражается в социально неприемлемых действиях, посредством замещения их на социально приемлемые (фото-арт-терапия, библиотерапия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коммуникативного поведения различными психотерапевтическими методами, а также освоение конструктивных способов разрешения конфликтов (в том числе с целью преодоления и профилактики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инвалида понятия о личных, в том числе телесных, границах (собственных, других людей) в целях безопасности и эффективности при межличностном взаимодействии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или восстановление когнитивных функций посредством нейрокоррекционных методик, а также с использованием аппаратно-программных методов с опорой на сохранные анализаторы (слуховой, тактильный, двигательный), с учетом возможностей остаточного зрения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соматогнозиса, пространственных представлений с учетом возможностей остаточного зрения, а также с опорой на сохранные анализаторы (слуховой, тактильный, двигательный);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восстановление тонкой дифференциации движений пальцев рук,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речевых функций посредством логопедических занятий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инвалида средствами арт-терапии, музыкотерапии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поддержание сохранных компонентов личности, а также развитие личностных качеств у 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эффективной коммуникации при межличностном взаимодействии 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конструктивным способам разрешения конфликтов (преодоление и профилактика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эффективным способам выхода из кризисных ситуаций и повышение уровня психологической защищенности с целью профилактики девиантного, суицидального, аддиктивного поведения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техникам эмоциональной саморегуляции (мобилизации, релаксации) (дифференциация эмоций, осознавание собственного эмоционального состояния и овладение техниками его нормализации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(обучение) навыков безопасного и эффективного межличностного взаимодействия с учетом соблюдения личных (физических) границ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инвалида и (или) члена семьи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сенсорной доступности материала 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члена семьи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болеющем члене семьи и другое)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инвалида и другое, с учетом принципа комплексности (всесторонности) обследования,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нейропсихологическими методиками;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методами аппаратно-программной диагностики;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инвалида при помощи логопедических методик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социально-психологической диагностики 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6" w:name="P406"/>
    <w:bookmarkEnd w:id="406"/>
    <w:p>
      <w:pPr>
        <w:pStyle w:val="2"/>
        <w:outlineLvl w:val="2"/>
        <w:jc w:val="both"/>
      </w:pPr>
      <w:r>
        <w:rPr>
          <w:sz w:val="24"/>
        </w:rPr>
        <w:t xml:space="preserve">23. Показатели продолжительности реабилитационных мероприятий социально-психологической реабилитации и 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705"/>
        <w:gridCol w:w="3742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 и повторная (контрольная)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70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30" w:name="P430"/>
    <w:bookmarkEnd w:id="430"/>
    <w:p>
      <w:pPr>
        <w:pStyle w:val="2"/>
        <w:outlineLvl w:val="2"/>
        <w:jc w:val="both"/>
      </w:pPr>
      <w:r>
        <w:rPr>
          <w:sz w:val="24"/>
        </w:rPr>
        <w:t xml:space="preserve">24. Показатели кратности реабилитационных мероприятий социально-психологической реабилитации и абилитации в соответствии с ЦРГ инвалида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190"/>
        <w:gridCol w:w="1190"/>
        <w:gridCol w:w="1190"/>
        <w:gridCol w:w="1190"/>
        <w:gridCol w:w="1190"/>
        <w:gridCol w:w="1190"/>
        <w:gridCol w:w="1191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71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социально-психологической реабилитации и абилитации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Социально-психологическая диагностика (константа)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5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6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7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8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09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0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1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14 - 40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19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0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1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2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3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4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5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30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25 - 35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666" w:name="P666"/>
    <w:bookmarkEnd w:id="666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247"/>
        <w:gridCol w:w="3968"/>
        <w:gridCol w:w="850"/>
        <w:gridCol w:w="850"/>
        <w:gridCol w:w="396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949" w:tooltip="&lt;8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950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04 25 06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Наборы диагностических методик, диагностические пособия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Аппаратно-программные комплексы с программами тестирования психической и двигательной сферы человека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памяти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(05 12 03)</w:t>
              </w:r>
            </w:hyperlink>
            <w:r>
              <w:rPr>
                <w:sz w:val="24"/>
              </w:rPr>
              <w:t xml:space="preserve"> </w:t>
            </w:r>
            <w:hyperlink w:history="0" w:anchor="P951" w:tooltip="&lt;10&gt;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методики улучшения памяти (по типу таблиц Шульте с адаптированными под цели улучшения памяти инструкциями, мнемотехнические техники, игры для развития памяти);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онлайн-игры и приложения для смартфона</w:t>
            </w:r>
          </w:p>
        </w:tc>
        <w:tc>
          <w:tcPr>
            <w:tcW w:w="85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(05 12 06)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настольные игры;</w:t>
            </w:r>
          </w:p>
          <w:p>
            <w:pPr>
              <w:pStyle w:val="0"/>
            </w:pPr>
            <w:r>
              <w:rPr>
                <w:sz w:val="24"/>
              </w:rPr>
              <w:t xml:space="preserve">нейропсихологические карточные игры для восстановления серийной организации движений;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методика "Последовательность картинок" (Х. Бидструпа);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домино тематики последовательности действий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развивающие комплекты для развития внимания;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тренажеры для развития внимания;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головоломки, настольные игры для развития внимания;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различные лото, домино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адаптированные настольные игры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навыкам умозрительного восприятия </w:t>
            </w: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(05 12 12)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развивающие комплекты;</w:t>
            </w:r>
          </w:p>
          <w:p>
            <w:pPr>
              <w:pStyle w:val="0"/>
            </w:pPr>
            <w:r>
              <w:rPr>
                <w:sz w:val="24"/>
              </w:rPr>
              <w:t xml:space="preserve">игры, требующие навыка описания предметов и действий по существенным признакам;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наборы карточек для развития логики</w:t>
            </w:r>
          </w:p>
        </w:tc>
        <w:tc>
          <w:tcPr>
            <w:tcW w:w="85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способности классифицировать </w:t>
            </w: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(05 12 15)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комплекты упражнений на развитие умения классифицировать;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методика В.М. Когана (методика совмещения признаков)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головоломки и настольные игры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тактильные шашки, шахматы, нарды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навыкам индуктивного/дедуктивного мышления </w:t>
            </w: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(05 12 21)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сборник головоломок для развития мышления;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игры на развитие аналитических процессов;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настольные игры, в том числе в адаптированном формате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развития способности понимать причину и следствие </w:t>
            </w: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(05 12 24)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развивающие наборы и логические игры для развития ассоциативного процесса;</w:t>
            </w:r>
          </w:p>
          <w:p>
            <w:pPr>
              <w:pStyle w:val="0"/>
            </w:pPr>
            <w:r>
              <w:rPr>
                <w:sz w:val="24"/>
              </w:rPr>
              <w:t xml:space="preserve">головоломки</w:t>
            </w:r>
          </w:p>
        </w:tc>
        <w:tc>
          <w:tcPr>
            <w:tcW w:w="850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Настольные игры на развитие памяти;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развивающие наборы;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модульные наборы психолога (в частности, боксы психолога с различным наполнением)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восприимчивости)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 </w:t>
            </w: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(04 36 03)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счетные палочки Кюизенера, доски Сегена;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развивающая панель, звуковая панель;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наборы карточек на сравнение предметов (по размерам, объему, площади, массе, углам, формам, назначению и другое)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-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сенсорные мешочки;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музыкальные инструменты;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природные материалы для тренировки сенсорной дифференциации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сенсорная комната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световой стол для рисования песком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пальцев и кистей рук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Силиконовые мячи для тренировки кистей рук различных текстур;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различной плотности и ширины резинки и резиновые или силиконовые эспандеры;</w:t>
            </w:r>
          </w:p>
          <w:p>
            <w:pPr>
              <w:pStyle w:val="0"/>
            </w:pPr>
            <w:r>
              <w:rPr>
                <w:sz w:val="24"/>
              </w:rPr>
              <w:t xml:space="preserve">шнуровки;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комплект тактильных дисков для развития тактильной чувствительности рук и ног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0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Настенные панели для эрготерапии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рук, туловища и ног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Сенсорная тропа для ног;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наборы (модули) для тренировки верхних конечностей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Аппаратно-программные комплексы восстановления утраченных двигательных функций, в том числе с использованием виртуальной реальности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с биологической обратной связью для тренировки опорно-двигательного и вестибулярного аппаратов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04 48 24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Аппаратно-программные комплексы с биологической обратной связью, в том числе с использованием виртуальной реальности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Специальные альбом с тематикой повышения социального интеллекта, дидактические карточки для развития эмоций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;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уведомления или напоминания о приеме лекарств, портативные записные книжки, ноутбуки с поддержкой памяти, системы отображения речи, системы напоминаний о времени каких-либо действий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;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рисования и рукописи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22 12 03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Наборы цветных ручек, фломастеров, карандашей, мелков, пастели;</w:t>
            </w:r>
          </w:p>
          <w:p>
            <w:pPr>
              <w:pStyle w:val="0"/>
            </w:pPr>
            <w:r>
              <w:rPr>
                <w:sz w:val="24"/>
              </w:rPr>
              <w:t xml:space="preserve">гуашь, акварель, кисточки;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линейки, фигурные трафареты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Цветные карандаши для слепых и слабовидящих, тактильные линейки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Держатели для ручек, карандашей, кисточек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20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Тактильно-звуковые 3D-пособия, тифлофлешплеер, аудиомагнитофон, цифровой диктофон, наушники-плеер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Телевизор с телетекстом для приема программ со скрытыми субтитрами, медиаплеер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Аудиомагнитофон, телевизор, медиаплеер, цифровой диктофон, наушники-плеер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 с учетом (сенсорной и когнитивной) доступности материала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49" w:name="P949"/>
    <w:bookmarkEnd w:id="9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5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950" w:name="P950"/>
    <w:bookmarkEnd w:id="9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0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951" w:name="P951"/>
    <w:bookmarkEnd w:id="9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Наименование вспомогательных средств и код подкласса приведены в соответствии с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969"/>
        <w:gridCol w:w="1984"/>
        <w:gridCol w:w="6973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69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2926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Диагностические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когнитивных функций и интеллектуальной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Нейропсихологическое блиц-обследование (Т.Г. Визель)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Краткое нейропсихологическое обследование когнитивной сферы (И.М. Тонконогий)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Экспериментальные методики патопсихологии (Комплект: Практическое руководство + Стимульный материал) (С.Я. Рубинштейн)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Краткая шкала оценки психического статуса (М.Ф. Фолштейн)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интеллекта по тесту Векслера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"Кольца Ландольта"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применяется при сохранности навыка письма и рисования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"Последовательность событий" (А.Н. Бернштейн)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скрининг обследования больных с афазией (М.М. Щербакова, С.В. Котов)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оценки речи при афазии (Л.С. Цветкова, Т.В. Ахутина, Н.М. Пылаева)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для оценки степени выраженности речевых нарушений у больных с локальными поражениями мозга (С.А. Дорофеева)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классификации предметов. Практикум по психодиагностике (Л.Н. Собчик)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эмоциональной и личностной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("Рисунок семьи", "Рисунок человека", "Несуществующее животное", "Дом-Дерево-Человек" и другие)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сохранности навыка письма и рисования, а также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фрустрационных реакций (С. Розенцвейг)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М. Люшера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 цветовых выборов (Л.Н. Собчик, модифицированный восьмицветовой тест М. Люшера)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Руки (Э. Вагнер)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САН (самочувствия, активности и настроения)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смысложизненных ориентаций (СЖО) (Дж. Крамбо, Л. Махолика, адаптация Д.А. Леонтьева)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Ценностные ориентации (М. Рокич)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Двадцать утверждений самоотношения (М. Кун, Т. Мак-Партланд, модификация В.И. Юрченко)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депрессии А. Бека (адаптация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Госпитальная шкала тревоги и депрессии (А. Зигмонд, Р. Снейт, адаптация А.В. Андрющенко)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Симптоматический опросник SCL-90-R (Simptom Check List-90-Revised) (Л. Дерогатис, 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уровня агрессивности Басса-Дарки (адаптация С.Н. Ениколопова)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(Eysenck Personality Inventory) (Г. Айзенк)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Я-структурный тест Г. Аммона (Ю.А. Тупицын)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Многоуровневый личностный опросник "Адаптивность" (А.Г. Маклаков, С.В. Чермянин)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Тест-опросник Шмишека (Г. Шмишек, адаптация В.М. Блейхер)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Мини-Мульт (СМОЛ - сокращенный многофакторный опросник для исследования личности)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отношения к болезни (ТОБОЛ) (Л.И. Вассерман, Б.В. Иовлев, Э.Б. Карпова)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"Стратегии совладающего поведения" (Р. Лазарус, С. Фолкман; адапт. Т.Л. Крюковой, Е.В. Куфтяк, М.С. Замышляевой; доп. стандартизирована Л.И. Вассерманом, Б.В. Иовлевым, Е.Р. Исаевой и другие)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субъективного контроля личности (Е.Ф. Бажин, Е.А. Голынкина, А.М. Эткинд)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базисных убеждений (Р. Янов-Бульман, адаптация О.А. Кравцовой, М.А. Падун, А.В. Котельниковой)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2.27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оценки реабилитационной приверженности личности (ОРПЛ) (вариант, адаптированный для лиц, получивших военную травму) (Е.В. Морозова)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сферы межличностных взаимоотношений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"Незаконченные предложения" (Д. Сакс, С. Леви)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межличностных отношений (ДМО) (модификация Л.Н. Собчик)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коммуникативных умений Михельсона (адаптация Ю.З. Гильбуха)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 (</w:t>
            </w:r>
            <w:hyperlink w:history="0" w:anchor="P104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социального самоконтроля (М. Снайдер, адаптация Н.В. Амяга)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коммуникативной толерантности (В.В. Бойко)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 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12926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 ПТСР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Структурированное клиническое диагностическое интервью: Модуль I. "Посттравматическое стрессовое расстройство"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Клиническое диагностическое интервью ведется специалистом, самостоятельное заполнение бланка инвалидом не требуется согласно протоколу исследования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для клинической диагностики ПТСР (Ф. Уэзерс, 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Клиническое диагностическое интервью ведется специалистом, самостоятельное заполнение бланка инвалидом не требуется согласно протоколу исследования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Миссисипская шкала для оценки посттравматических реакций (военный вариант) (Т. Кин, 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травматического стресса для диагностики психологических последствий (И.О. Котенев)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оценки интенсивности боевого опыта (Т. Кин, 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оценки влияния травматического события (М. Горовиц, адаптация Н.В. Тарабриной)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Краткая шкала тревоги, депрессии и ПТСР (Б. Харт, адаптация И.О. Котенева)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1292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Коррекционные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 для тренировки мозга от нейропсихолога (Н.К. Талызина)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 для развития мозга от нейропсихолога (Н.К. Талызина)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Гимнастика для ума (О.И. Марычева, К.А. Габараева)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5.4.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Восстановление высших психических функций (Л.С. Цветкова)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5.5.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Нейропсихология письма, чтения и счета: нарушение и восстановление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(Л.С. Цветкова)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5.6.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Нейропсихологическая реабилитация больных: речь и интеллектуальная деятельность (Л.С. Цветкова)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5.7.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Афазия. Агнозия. Апраксия. Методики восстановления (М.Г. Храковская)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5.8.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Внимание, мышление, речь. Комплекс упражнений. Грубая форма афазии (1 и 2 часть) (Л.Б. Клепацкая)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5.9.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речи, мышления, внимания.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Грубая форма афазии (Л.Б. Клепацкая)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5.10.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Когнитивная реабилитация больных с инсультом и черепно-мозговыми травмами (В.Н. Григорьева, М.С. Ковязина, А.Ш. Тхостов)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5.11.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Понимание и формирование речи. Грубая форма афазии (Л.Б. Клепацкая)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5.12.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Восстановление речи. Упражнения и тексты. Средняя и легкая формы афазии (Л.Б. Клепацкая)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5.13.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Восстановление речевых функций у больных с разными формами афазии (В.М. Шкловский, Т.Г. Визель)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3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7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5.14.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психологического сопровождения пациентов с синдромом неглекта (Е.В. Никитаева)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hyperlink w:history="0" w:anchor="P112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необходимости.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Примерный перечень методов и направлений психологического консультирования и психотерапии, применяемых при реализации мероприятий в рамках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реализации мероприятий психологического консультирования, практических занятий, психологических тренингов для инвалидов, получивших ранение (травму, контузию, увечье) или заболевание в связи с участием в боевых действиях, рекомендуется использовать следующие психологические методы, подходы и психотерапевтические направления: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десенсибилизация и переработка движением глаз (ДПДГ) относится к краткосрочным методам психотерапии травматического опыта и заключается в целенаправленной инициации процесса "переработки" воспоминаний о негативных событиях при помощи билатеральной стимуляции посредством специальных техник (серий движений глаз, постукиваний по рукам или пощелкиваний пальцами);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когнитивно-поведенческая терапия базируется на принципе проработки "ошибок" мышления и деструктивных поведенческих стереотипов для адаптации эмоциональных и поведенческих реакций личности при реализации различных социальных, профессиональных и других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семейная психотерапия направлена на коррекцию нарушений межличностных внутрисемейных отношений и устранение связанных с ними эмоциональных и поведенческих расстройств (в формате работы психотерапевта с одним или несколькими членами семьи);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кататимно-имагинативная психотерапия (символдрама) направлена на разрешение внутреннего конфликта через опосредование переживания образным символом;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экзистенциальная психотерапия (в том числе логотерапия) основана на поиске и анализе человеком различных смыслов существования;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гештальт-терапия сфокусирована на проработке внутриличностных конфликтов в настоящем моменте ("здесь и сейчас") с помощью различных гештальт-техник и упражнений, направленных на осознание многогранного личностного опыта (чувств, переживаний, телесных проявлений, действий, поступков и происходящих с человеком событий), что позволяет достичь внутриличностной целостности (интегрированности) и осмысленности жизни, улучшающих творческий контакт человека с окружающей средой (социальным окружением и внешним миром в целом);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арт-терапия базируется на принципе использования творческой активности человека в качестве терапевтического и профилактического воздействия в целях снятия стресса, повышенной тревожности, эмоционального напряжения и другой симптоматики, посредством творческого самовыражения в рамках различных техник (изобразительное искусство, музыка, экспрессивно окрашенные движения, танец или театральное, сценическое искусство);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психодрама базируется на проработке проблемных переживаний посредством разыгрывания (импровизация) разнообразных жизненных сценариев с целью снятия эмоционального напряжения и освоения новых, более адаптивных способов поведения (в групповой и индивидуальной форме);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личностно-ориентированная терапия ставит акцент не на симптомах, а на личностных проблемах с целью сделать личность способной к разрешению внешних и внутренних конфликтов путем реорганизации системы ее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методы психологической саморегуляции обучают самостоятельному формированию алгоритмов внутреннего управления собственным психоэмоциональным состоянием посредством самовоздействия человека с помощью различных техник (аффирмаций, мысленных образов (визуализация), регуляции мышечного тонуса и дыхания (нервно-мышечная релаксация, аутогенная тренировка, сенсорная репродукция образов и другое).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93" w:name="P1393"/>
    <w:bookmarkEnd w:id="1393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социально-психологическая диагностика первичная (входящая), а по завершении - социально-психологическая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диагностики используется протокол оценки эффективности проведенного курса социально-психологической реабилитации и абилитации (далее - протокол), представленный в </w:t>
      </w:r>
      <w:hyperlink w:history="0" w:anchor="P1491" w:tooltip="26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26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социально-психологической диагностики проводится в том числе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Частично социально-психологическая диагностика касается оценки ОЖД в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учитывается оценка ОЖД в остальных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самообслуживанию,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трудовой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социально-психологической диагностики первичной (входящей) определяются конкретные цели на курс социально-психологической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социально-психологическая диагностика повторная (контрольная), в рамках которой оцениваются критерии: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442"/>
        <w:gridCol w:w="1020"/>
        <w:gridCol w:w="1020"/>
        <w:gridCol w:w="1020"/>
      </w:tblGrid>
      <w:tr>
        <w:tc>
          <w:tcPr>
            <w:gridSpan w:val="2"/>
            <w:tcW w:w="60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00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0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настоящем стандарте, для соответствующей ЦРГ. При реализации мероприятий в соответствии со стандартом - полный объем (социально-психологическая диагностика (первичная (входящая), повторная (контрольная), информирование, консультирование, практические занятия, тренинги, просвещение)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стандарте,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первичной (входящей) социально-психологической диагностике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первичной (входящей) и повторной (контрольной) диагностики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реабилитации и абилитации в реабилитационной организации (K)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социально-психологическая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социально-психологической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91" w:name="P1491"/>
    <w:bookmarkEnd w:id="1491"/>
    <w:p>
      <w:pPr>
        <w:pStyle w:val="0"/>
        <w:outlineLvl w:val="2"/>
        <w:ind w:firstLine="540"/>
        <w:jc w:val="both"/>
      </w:pPr>
      <w:r>
        <w:rPr>
          <w:sz w:val="24"/>
        </w:rPr>
        <w:t xml:space="preserve">26. Протокол оценки эффективности проведенного курса социально-психологической реабилитации и абилитации.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60"/>
      </w:tblGrid>
      <w:tr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первичной (входящей) (в баллах)</w:t>
            </w:r>
          </w:p>
        </w:tc>
        <w:tc>
          <w:tcPr>
            <w:gridSpan w:val="5"/>
            <w:tcW w:w="47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1400 Устойчивость внимания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1401 Переключение внимания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1402 Разделение внимания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1403 Сосредоточение внимания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1471 Качество психомоторных функций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1565 Визуально-пространственное восприятие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240 Преодоление стресса и других психологических нагрузок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750 Неформальные социальные отношения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760 Семейные отношения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7600 Отношения "родители-дети"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7601 Отношения "дети-родители"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7602 Отношения детей в семье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770 Интимные отношения</w:t>
            </w:r>
          </w:p>
        </w:tc>
        <w:tc>
          <w:tcPr>
            <w:gridSpan w:val="10"/>
            <w:tcW w:w="9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7701 Супружеские отношения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487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(a)</w:t>
            </w:r>
          </w:p>
        </w:tc>
        <w:tc>
          <w:tcPr>
            <w:gridSpan w:val="5"/>
            <w:tcW w:w="4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gridSpan w:val="5"/>
            <w:tcW w:w="47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(b)</w:t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75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 / ______ * 100% =</w:t>
            </w:r>
          </w:p>
        </w:tc>
        <w:tc>
          <w:tcPr>
            <w:gridSpan w:val="5"/>
            <w:tcW w:w="47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10.04.2025 N 196н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10.04.2025 N 196н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2&amp;field=134" TargetMode = "External"/>
	<Relationship Id="rId9" Type="http://schemas.openxmlformats.org/officeDocument/2006/relationships/hyperlink" Target="https://login.consultant.ru/link/?req=doc&amp;base=LAW&amp;n=481937&amp;date=18.09.2025&amp;dst=100030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7&amp;field=134" TargetMode = "External"/>
	<Relationship Id="rId12" Type="http://schemas.openxmlformats.org/officeDocument/2006/relationships/hyperlink" Target="https://login.consultant.ru/link/?req=doc&amp;base=LAW&amp;n=485034&amp;date=18.09.2025&amp;dst=100036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85076&amp;date=18.09.2025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634&amp;field=134" TargetMode = "External"/>
	<Relationship Id="rId35" Type="http://schemas.openxmlformats.org/officeDocument/2006/relationships/hyperlink" Target="https://login.consultant.ru/link/?req=doc&amp;base=OTN&amp;n=26841&amp;date=18.09.2025&amp;dst=100842&amp;field=134" TargetMode = "External"/>
	<Relationship Id="rId36" Type="http://schemas.openxmlformats.org/officeDocument/2006/relationships/hyperlink" Target="https://login.consultant.ru/link/?req=doc&amp;base=OTN&amp;n=26841&amp;date=18.09.2025&amp;dst=100846&amp;field=134" TargetMode = "External"/>
	<Relationship Id="rId37" Type="http://schemas.openxmlformats.org/officeDocument/2006/relationships/hyperlink" Target="https://login.consultant.ru/link/?req=doc&amp;base=OTN&amp;n=26841&amp;date=18.09.2025&amp;dst=100848&amp;field=134" TargetMode = "External"/>
	<Relationship Id="rId38" Type="http://schemas.openxmlformats.org/officeDocument/2006/relationships/hyperlink" Target="https://login.consultant.ru/link/?req=doc&amp;base=OTN&amp;n=26841&amp;date=18.09.2025&amp;dst=100851&amp;field=134" TargetMode = "External"/>
	<Relationship Id="rId39" Type="http://schemas.openxmlformats.org/officeDocument/2006/relationships/hyperlink" Target="https://login.consultant.ru/link/?req=doc&amp;base=OTN&amp;n=26841&amp;date=18.09.2025&amp;dst=100851&amp;field=134" TargetMode = "External"/>
	<Relationship Id="rId40" Type="http://schemas.openxmlformats.org/officeDocument/2006/relationships/hyperlink" Target="https://login.consultant.ru/link/?req=doc&amp;base=OTN&amp;n=26841&amp;date=18.09.2025&amp;dst=100854&amp;field=134" TargetMode = "External"/>
	<Relationship Id="rId41" Type="http://schemas.openxmlformats.org/officeDocument/2006/relationships/hyperlink" Target="https://login.consultant.ru/link/?req=doc&amp;base=OTN&amp;n=26841&amp;date=18.09.2025&amp;dst=100857&amp;field=134" TargetMode = "External"/>
	<Relationship Id="rId42" Type="http://schemas.openxmlformats.org/officeDocument/2006/relationships/hyperlink" Target="https://login.consultant.ru/link/?req=doc&amp;base=OTN&amp;n=26841&amp;date=18.09.2025&amp;dst=100860&amp;field=134" TargetMode = "External"/>
	<Relationship Id="rId43" Type="http://schemas.openxmlformats.org/officeDocument/2006/relationships/hyperlink" Target="https://login.consultant.ru/link/?req=doc&amp;base=OTN&amp;n=26841&amp;date=18.09.2025&amp;dst=100860&amp;field=134" TargetMode = "External"/>
	<Relationship Id="rId44" Type="http://schemas.openxmlformats.org/officeDocument/2006/relationships/hyperlink" Target="https://login.consultant.ru/link/?req=doc&amp;base=OTN&amp;n=26841&amp;date=18.09.2025&amp;dst=100862&amp;field=134" TargetMode = "External"/>
	<Relationship Id="rId45" Type="http://schemas.openxmlformats.org/officeDocument/2006/relationships/hyperlink" Target="https://login.consultant.ru/link/?req=doc&amp;base=OTN&amp;n=26841&amp;date=18.09.2025&amp;dst=100865&amp;field=134" TargetMode = "External"/>
	<Relationship Id="rId46" Type="http://schemas.openxmlformats.org/officeDocument/2006/relationships/hyperlink" Target="https://login.consultant.ru/link/?req=doc&amp;base=OTN&amp;n=26841&amp;date=18.09.2025&amp;dst=100637&amp;field=134" TargetMode = "External"/>
	<Relationship Id="rId47" Type="http://schemas.openxmlformats.org/officeDocument/2006/relationships/hyperlink" Target="https://login.consultant.ru/link/?req=doc&amp;base=OTN&amp;n=26841&amp;date=18.09.2025&amp;dst=100707&amp;field=134" TargetMode = "External"/>
	<Relationship Id="rId48" Type="http://schemas.openxmlformats.org/officeDocument/2006/relationships/hyperlink" Target="https://login.consultant.ru/link/?req=doc&amp;base=OTN&amp;n=26841&amp;date=18.09.2025&amp;dst=100715&amp;field=134" TargetMode = "External"/>
	<Relationship Id="rId49" Type="http://schemas.openxmlformats.org/officeDocument/2006/relationships/hyperlink" Target="https://login.consultant.ru/link/?req=doc&amp;base=OTN&amp;n=26841&amp;date=18.09.2025&amp;dst=100723&amp;field=134" TargetMode = "External"/>
	<Relationship Id="rId50" Type="http://schemas.openxmlformats.org/officeDocument/2006/relationships/hyperlink" Target="https://login.consultant.ru/link/?req=doc&amp;base=OTN&amp;n=26841&amp;date=18.09.2025&amp;dst=100723&amp;field=134" TargetMode = "External"/>
	<Relationship Id="rId51" Type="http://schemas.openxmlformats.org/officeDocument/2006/relationships/hyperlink" Target="https://login.consultant.ru/link/?req=doc&amp;base=OTN&amp;n=26841&amp;date=18.09.2025&amp;dst=100723&amp;field=134" TargetMode = "External"/>
	<Relationship Id="rId52" Type="http://schemas.openxmlformats.org/officeDocument/2006/relationships/hyperlink" Target="https://login.consultant.ru/link/?req=doc&amp;base=OTN&amp;n=26841&amp;date=18.09.2025&amp;dst=100742&amp;field=134" TargetMode = "External"/>
	<Relationship Id="rId53" Type="http://schemas.openxmlformats.org/officeDocument/2006/relationships/hyperlink" Target="https://login.consultant.ru/link/?req=doc&amp;base=OTN&amp;n=26841&amp;date=18.09.2025&amp;dst=100745&amp;field=134" TargetMode = "External"/>
	<Relationship Id="rId54" Type="http://schemas.openxmlformats.org/officeDocument/2006/relationships/hyperlink" Target="https://login.consultant.ru/link/?req=doc&amp;base=OTN&amp;n=26841&amp;date=18.09.2025&amp;dst=100752&amp;field=134" TargetMode = "External"/>
	<Relationship Id="rId55" Type="http://schemas.openxmlformats.org/officeDocument/2006/relationships/hyperlink" Target="https://login.consultant.ru/link/?req=doc&amp;base=OTN&amp;n=26841&amp;date=18.09.2025&amp;dst=100941&amp;field=134" TargetMode = "External"/>
	<Relationship Id="rId56" Type="http://schemas.openxmlformats.org/officeDocument/2006/relationships/hyperlink" Target="https://login.consultant.ru/link/?req=doc&amp;base=OTN&amp;n=26841&amp;date=18.09.2025&amp;dst=103243&amp;field=134" TargetMode = "External"/>
	<Relationship Id="rId57" Type="http://schemas.openxmlformats.org/officeDocument/2006/relationships/hyperlink" Target="https://login.consultant.ru/link/?req=doc&amp;base=OTN&amp;n=26841&amp;date=18.09.2025&amp;dst=103057&amp;field=134" TargetMode = "External"/>
	<Relationship Id="rId58" Type="http://schemas.openxmlformats.org/officeDocument/2006/relationships/hyperlink" Target="https://login.consultant.ru/link/?req=doc&amp;base=OTN&amp;n=26841&amp;date=18.09.2025&amp;dst=103104&amp;field=134" TargetMode = "External"/>
	<Relationship Id="rId59" Type="http://schemas.openxmlformats.org/officeDocument/2006/relationships/hyperlink" Target="https://login.consultant.ru/link/?req=doc&amp;base=LAW&amp;n=485034&amp;date=18.09.2025" TargetMode = "External"/>
	<Relationship Id="rId60" Type="http://schemas.openxmlformats.org/officeDocument/2006/relationships/hyperlink" Target="https://login.consultant.ru/link/?req=doc&amp;base=OTN&amp;n=26841&amp;date=18.09.2025" TargetMode = "External"/>
	<Relationship Id="rId61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10.04.2025 N 196н
"Об утверждении Стандарта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действиями"
(Зарегистрировано в Минюсте России 15.05.2025 N 82192)</dc:title>
  <dcterms:created xsi:type="dcterms:W3CDTF">2025-09-18T03:56:48Z</dcterms:created>
</cp:coreProperties>
</file>