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07.04.2025 N 179н</w:t>
              <w:br/>
              <w:t xml:space="preserve">"Об утверждении Стандарта оказания услуги по социально-средовой реабилитации и абилитации инвалидов, получивших травму, ранение, контузию, увечье в связи с боевыми действиями"</w:t>
              <w:br/>
              <w:t xml:space="preserve">(Зарегистрировано в Минюсте России 13.05.2025 N 82136)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13 мая 2025 г. N 82136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апреля 2025 г. N 179н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социально-средовой реабилитации и абилитации инвалидов, получивших травму, ранение, контузию, увечье в связи с боевыми действиями.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7 апреля 2025 г. N 179н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социально-средовой реабилитации и абилитации инвалидов, получивших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(дополнительная)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инвалиду информации по вопросам социально-средовой реабилитации и абилитации, включая изложение общих целей, задач, обзор мероприятий по социально-средовой реабилитации и абилитации, а также предоставление сведений, необходимых для повышения его уровня осведомленности в различных вопросах формирования, развития и закрепления навыков ориентировки, передвижения, взаимодействия и персональной безопасности в условиях социальной, инженерной и транспортной инфраструктур с учетом доступности среды (в том числе с использованием ТСР);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- комплекс взаимосвязанных обслуживающих структур или объектов, составляющих и (или) обеспечивающих основу функционирования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инженерная - это совокупность структур, которые обеспечивают в комплексе водо-, газо-, электро- и теплоснабжение, а также водоотведение. К ней относят внешние и внутренние сети связи, системы газо-, водоснабжения, вентиляции и кондиционирования воздуха, электроснабжения;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социальная - совокупность отраслей и предприятий, функционально обеспечивающих нормальную жизнедеятельность населения. К ней относятся: жилье, его строительство, объекты социально-культурного назначения, вся сфера жилищно-коммунального хозяйства, предприятия и организации систем здравоохранения, образования, дошкольного воспитания и так далее;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транспортная - это совокупность структур, призванная заниматься обеспечением функционирования и движения транспорта, перевозкой людей и грузов, инженерных систем. В задачи инфраструктуры входит создание условий для эффективной работы различных видов транспорта, размещение дорог;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самостоятельному передвижению, способности к ориентации, способности к общению, способность контролировать свое поведение). Определяется реабилитационной организацией при проведении социально-средовой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(социальное-средовое) - реабилитационное мероприятие, заключающееся в проработке индивидуальных запросов инвалида в части формирования (развития, закрепления) навыков ориентировки, передвижения и персональной безопасности (сохранности) инвалида в социально-средовых условиях (градостроительной, образовательной, производственной среде), в том числе навыков использования технических средств реабилитации и ассистивных технологий; доступности градостроительных и транспортных социально значимых объектов; построения реабилитационного маршрута, ожидаемых результатов, дальнейших реабилитационных планов и перспектив в целях социальной адаптации и интеграции инвалида в общество;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ОВЗ - ограниченные возможности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ОРВИ - острая респираторная вирусная инфекция;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(социально-средового)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реабилитационные мероприятия в индивидуальном или групповом формате, направленные на восстановление (формирование, поддержание) у инвалида навыков самостоятельной ориентировки, передвижения, персональной безопасности (сохранности), а также эффективного социального и средового взаимодействия в условиях социальной, инженерной, транспортной, информационной инфраструктур, в том числе с использованием ассистивных средств и технических средств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социально-средовой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это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(социально-средового) статуса инвалида (его активности и участия), после получения услуги по социально-средовой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- реабилитационное мероприятие, направленное на оценку социально-средового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первичная (входящая) - реабилитационное мероприятие, направленное на оценку социально-средового статуса инвалида до начала проведения мероприятий, входящих в состав услуги, а также на постановку цели реабилитации и абилитации на курс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повторная (контрольная) - реабилитационное мероприятие, направленное на оценку социально-средового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социально-средовой статус инвалида - характеристика актуального состояния инвалида, обеспечивающего его способность осуществлять жизнедеятельность и социальное взаимодействие в окружающей среде (жилой, градостроительной, образовательной производственной);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ССН - система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ТНУ - тактильные наземные указатели;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hyperlink w:history="0" w:anchor="P257" w:tooltip="23. Инвалиды, получившие ранение (травму, контузию, увечье) или заболевание в связи с участием в боевых действиях (ЦРГ 12)">
        <w:r>
          <w:rPr>
            <w:sz w:val="24"/>
            <w:color w:val="0000ff"/>
          </w:rPr>
          <w:t xml:space="preserve">ЦРГ 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hyperlink w:history="0" w:anchor="P379" w:tooltip="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(ЦРГ 12.1)">
        <w:r>
          <w:rPr>
            <w:sz w:val="24"/>
            <w:color w:val="0000ff"/>
          </w:rPr>
          <w:t xml:space="preserve">ЦРГ 12.1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hyperlink w:history="0" w:anchor="P464" w:tooltip="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(ЦРГ 12.2)">
        <w:r>
          <w:rPr>
            <w:sz w:val="24"/>
            <w:color w:val="0000ff"/>
          </w:rPr>
          <w:t xml:space="preserve">ЦРГ 12.2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hyperlink w:history="0" w:anchor="P554" w:tooltip="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(ЦРГ 12.3)">
        <w:r>
          <w:rPr>
            <w:sz w:val="24"/>
            <w:color w:val="0000ff"/>
          </w:rPr>
          <w:t xml:space="preserve">ЦРГ 12.3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hyperlink w:history="0" w:anchor="P643" w:tooltip="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(ЦРГ 12.4)">
        <w:r>
          <w:rPr>
            <w:sz w:val="24"/>
            <w:color w:val="0000ff"/>
          </w:rPr>
          <w:t xml:space="preserve">ЦРГ 12.4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hyperlink w:history="0" w:anchor="P732" w:tooltip="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(ЦРГ 12.5)">
        <w:r>
          <w:rPr>
            <w:sz w:val="24"/>
            <w:color w:val="0000ff"/>
          </w:rPr>
          <w:t xml:space="preserve">ЦРГ 12.5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hyperlink w:history="0" w:anchor="P826" w:tooltip="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(ЦРГ 12.6)">
        <w:r>
          <w:rPr>
            <w:sz w:val="24"/>
            <w:color w:val="0000ff"/>
          </w:rPr>
          <w:t xml:space="preserve">ЦРГ 12.6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hyperlink w:history="0" w:anchor="P914" w:tooltip="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(ЦРГ 12.7)">
        <w:r>
          <w:rPr>
            <w:sz w:val="24"/>
            <w:color w:val="0000ff"/>
          </w:rPr>
          <w:t xml:space="preserve">ЦРГ 12.7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hyperlink w:history="0" w:anchor="P1002" w:tooltip="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(ЦРГ 12.8)">
        <w:r>
          <w:rPr>
            <w:sz w:val="24"/>
            <w:color w:val="0000ff"/>
          </w:rPr>
          <w:t xml:space="preserve">ЦРГ 12.8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hyperlink w:history="0" w:anchor="P1120" w:tooltip="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(ЦРГ 12.9)">
        <w:r>
          <w:rPr>
            <w:sz w:val="24"/>
            <w:color w:val="0000ff"/>
          </w:rPr>
          <w:t xml:space="preserve">ЦРГ 12.9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hyperlink w:history="0" w:anchor="P1238" w:tooltip="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(ЦРГ 12.10)">
        <w:r>
          <w:rPr>
            <w:sz w:val="24"/>
            <w:color w:val="0000ff"/>
          </w:rPr>
          <w:t xml:space="preserve">ЦРГ 12.10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hyperlink w:history="0" w:anchor="P1349" w:tooltip="34. Инвалиды, получившие ранение (травму, контузию, увечье) или заболевание в связи с участием в боевых действиях, с последствиями поражения органа слуха (ЦРГ 12.11)">
        <w:r>
          <w:rPr>
            <w:sz w:val="24"/>
            <w:color w:val="0000ff"/>
          </w:rPr>
          <w:t xml:space="preserve">ЦРГ 12.11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hyperlink w:history="0" w:anchor="P1440" w:tooltip="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(ЦРГ 12.12)">
        <w:r>
          <w:rPr>
            <w:sz w:val="24"/>
            <w:color w:val="0000ff"/>
          </w:rPr>
          <w:t xml:space="preserve">ЦРГ 12.12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hyperlink w:history="0" w:anchor="P1521" w:tooltip="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(ЦРГ 12.13)">
        <w:r>
          <w:rPr>
            <w:sz w:val="24"/>
            <w:color w:val="0000ff"/>
          </w:rPr>
          <w:t xml:space="preserve">ЦРГ 12.13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hyperlink w:history="0" w:anchor="P1640" w:tooltip="37. Инвалиды, получившие травму, ранение, контузию, увечье в связи с боевыми действиями (ЦРГ 13)">
        <w:r>
          <w:rPr>
            <w:sz w:val="24"/>
            <w:color w:val="0000ff"/>
          </w:rPr>
          <w:t xml:space="preserve">ЦРГ 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hyperlink w:history="0" w:anchor="P1744" w:tooltip="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(ЦРГ 13.1)">
        <w:r>
          <w:rPr>
            <w:sz w:val="24"/>
            <w:color w:val="0000ff"/>
          </w:rPr>
          <w:t xml:space="preserve">ЦРГ 13.1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hyperlink w:history="0" w:anchor="P1832" w:tooltip="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(ЦРГ 13.2)">
        <w:r>
          <w:rPr>
            <w:sz w:val="24"/>
            <w:color w:val="0000ff"/>
          </w:rPr>
          <w:t xml:space="preserve">ЦРГ 13.2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hyperlink w:history="0" w:anchor="P1922" w:tooltip="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(ЦРГ 13.3)">
        <w:r>
          <w:rPr>
            <w:sz w:val="24"/>
            <w:color w:val="0000ff"/>
          </w:rPr>
          <w:t xml:space="preserve">ЦРГ 13.3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hyperlink w:history="0" w:anchor="P2009" w:tooltip="41. Инвалиды, получившие травму, ранение, контузию, увечье в связи с боевыми действиями, вследствие приобретенного отсутствия обеих нижних конечностей (ЦРГ 13.4)">
        <w:r>
          <w:rPr>
            <w:sz w:val="24"/>
            <w:color w:val="0000ff"/>
          </w:rPr>
          <w:t xml:space="preserve">ЦРГ 13.4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hyperlink w:history="0" w:anchor="P2096" w:tooltip="42. Инвалиды, получившие травму, ранение, контузию, увечье в связи с боевыми действиями, с последствиями травм, термических и химических ожогов, отморожений конечностей с формированием анкилозов, контрактур и стягивающих рубцов (ЦРГ 13.5)">
        <w:r>
          <w:rPr>
            <w:sz w:val="24"/>
            <w:color w:val="0000ff"/>
          </w:rPr>
          <w:t xml:space="preserve">ЦРГ 13.5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hyperlink w:history="0" w:anchor="P2185" w:tooltip="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(ЦРГ 13.6)">
        <w:r>
          <w:rPr>
            <w:sz w:val="24"/>
            <w:color w:val="0000ff"/>
          </w:rPr>
          <w:t xml:space="preserve">ЦРГ 13.6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hyperlink w:history="0" w:anchor="P2279" w:tooltip="44. Инвалиды, получившие травму, ранение, контузию, увечье в связи с боевыми действиями, вследствие поражения периферической нервной системы (ЦРГ 13.7)">
        <w:r>
          <w:rPr>
            <w:sz w:val="24"/>
            <w:color w:val="0000ff"/>
          </w:rPr>
          <w:t xml:space="preserve">ЦРГ 13.7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hyperlink w:history="0" w:anchor="P2378" w:tooltip="45. Инвалиды, получившие травму, ранение, контузию, увечье в связи с боевыми действиями, вследствие поражения мозгового отдела черепа и головного мозга (ЦРГ 13.8)">
        <w:r>
          <w:rPr>
            <w:sz w:val="24"/>
            <w:color w:val="0000ff"/>
          </w:rPr>
          <w:t xml:space="preserve">ЦРГ 13.8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hyperlink w:history="0" w:anchor="P2491" w:tooltip="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(ЦРГ 13.9)">
        <w:r>
          <w:rPr>
            <w:sz w:val="24"/>
            <w:color w:val="0000ff"/>
          </w:rPr>
          <w:t xml:space="preserve">ЦРГ 13.9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hyperlink w:history="0" w:anchor="P2607" w:tooltip="47. Инвалиды, получившие травму, ранение, контузию, увечье в связи с боевыми действиями, вследствие поражения органа зрения (ЦРГ 13.10)">
        <w:r>
          <w:rPr>
            <w:sz w:val="24"/>
            <w:color w:val="0000ff"/>
          </w:rPr>
          <w:t xml:space="preserve">ЦРГ 13.10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зрения;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hyperlink w:history="0" w:anchor="P2714" w:tooltip="48. Инвалиды, получившие травму, ранение, контузию, увечье в связи с боевыми действиями, вследствие поражения органа слуха (ЦРГ 13.11)">
        <w:r>
          <w:rPr>
            <w:sz w:val="24"/>
            <w:color w:val="0000ff"/>
          </w:rPr>
          <w:t xml:space="preserve">ЦРГ 13.11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слуха;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hyperlink w:history="0" w:anchor="P2808" w:tooltip="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(ЦРГ 13.12)">
        <w:r>
          <w:rPr>
            <w:sz w:val="24"/>
            <w:color w:val="0000ff"/>
          </w:rPr>
          <w:t xml:space="preserve">ЦРГ 13.12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hyperlink w:history="0" w:anchor="P2884" w:tooltip="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(ЦРГ 13.13)">
        <w:r>
          <w:rPr>
            <w:sz w:val="24"/>
            <w:color w:val="0000ff"/>
          </w:rPr>
          <w:t xml:space="preserve">ЦРГ 13.13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недоступности);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92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3203" w:tooltip="Раздел VIII. Примерный перечень необходимого реабилитационного оборудования (вспомогательных средств и технических средств реабилитации), которым должна быть оснащена реабилитационная организация для оказания услуги, предусмотренной стандартом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социально-средовой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92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3203" w:tooltip="Раздел VIII. Примерный перечень необходимого реабилитационного оборудования (вспомогательных средств и технических средств реабилитации), которым должна быть оснащена реабилитационная организация для оказания услуги, предусмотренной стандартом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Перечень специалистов приведен с учетом положений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реабилитационного курса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социально-средовой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("самостоятельное передвижение", "ориентация", "общение", "контроль своего поведения") в соответствии с протоколом, представленным в </w:t>
      </w:r>
      <w:hyperlink w:history="0" w:anchor="P3760" w:tooltip="54. Протокол оценки эффективности проведенного курса социально-средовой реабилитации и абилитации.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Раздела X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целей реабилитации и абилитации при оказании услуги осуществляется специалистами междисциплинарной команды; конкретные цели реабилитации и абилитации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3025" w:tooltip="52. Показатели кратности реабилитационных мероприятий социально-средовой реабилитации и абилитации в соответствии с ЦРГ инвалида">
        <w:r>
          <w:rPr>
            <w:sz w:val="24"/>
            <w:color w:val="0000ff"/>
          </w:rPr>
          <w:t xml:space="preserve">пункт 52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(социально-средовая диагностика, информирование, консультирование, практические занятия),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3007" w:tooltip="51. Показатели продолжительности реабилитационных мероприятий социально-средовой реабилитации и абилитации">
        <w:r>
          <w:rPr>
            <w:sz w:val="24"/>
            <w:color w:val="0000ff"/>
          </w:rPr>
          <w:t xml:space="preserve">пункт 51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3667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социально-средовой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входящих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мероприятий (при необходимости и согласии на то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589-ст.</w:t>
      </w:r>
    </w:p>
    <w:p>
      <w:pPr>
        <w:pStyle w:val="0"/>
        <w:jc w:val="both"/>
      </w:pPr>
      <w:r>
        <w:rPr>
          <w:sz w:val="24"/>
        </w:rPr>
      </w:r>
    </w:p>
    <w:bookmarkStart w:id="192" w:name="P192"/>
    <w:bookmarkEnd w:id="192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742"/>
        <w:gridCol w:w="345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4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077"/>
        <w:gridCol w:w="2437"/>
        <w:gridCol w:w="243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8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57" w:name="P257"/>
    <w:bookmarkEnd w:id="257"/>
    <w:p>
      <w:pPr>
        <w:pStyle w:val="2"/>
        <w:outlineLvl w:val="2"/>
        <w:jc w:val="both"/>
      </w:pPr>
      <w:r>
        <w:rPr>
          <w:sz w:val="24"/>
        </w:rPr>
        <w:t xml:space="preserve">23. Инвалиды, получившие ранение (травму, контузию, увечье) или заболевание в связи с участием в боевых действиях </w:t>
      </w:r>
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социально-средового анамнеза инвалида, в том числе опрос, анкетирование (при необходимости с использованием адаптированных бланков и (или) с опорой на сохранные анализаторы),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 о действующей системе радиоинформирования и звукового ориентирования (включая устройства звукового сопровождения на светофорах), о тактильных и (или) тактильно-звуковых мнемосхемах,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информационной), а также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включая правила здоровьесберегающего поведения и соблюдения личной гигиены, а также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безопасного нахождения в условиях социальной среды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 (использование шумоподавляющих наушников при вероятности громких звуков; солнцезащитных очков при гиперчувствительности к ярким источникам света)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сенсорных функций (зрения) собакой-проводником и порядке организации обеспечения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с использованием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преодоления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колясочника" и "Школа ходьбы (на протезе)"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посадки-высадки из автомобиля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оповещением, специальными приспособлениями (откидной низкий пол, поручни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других), в том числе умения обращаться за помощью в рамках средового взаимодействия с социумом, в частности, при ухудшении самочувствия, а также потребности в помощи окружающих, в целом (в том числе формирование алгоритма помощи; контактные данные родственника, лечащего врача на бумажном носителе по типу "тревожных карточек"), включая использование средств АДК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при резком ухудшении самочувствия в условиях градостроительной, транспортной и других инфраструктур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терминалами регистрации электронных услуг (в том числе услуги медицинских учреждений), а также электронными ресурсами (электронные карты и другое), включая покупку авиа- и железнодорожных билетов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и тому подобное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необходимости с использованием адаптированных бланков, оптических средств коррекции слабовидения и (или) с опорой на сохранные анализаторы);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79" w:name="P379"/>
    <w:bookmarkEnd w:id="379"/>
    <w:p>
      <w:pPr>
        <w:pStyle w:val="2"/>
        <w:outlineLvl w:val="2"/>
        <w:jc w:val="both"/>
      </w:pPr>
      <w:r>
        <w:rPr>
          <w:sz w:val="24"/>
        </w:rPr>
        <w:t xml:space="preserve">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</w:t>
      </w:r>
      <w:hyperlink w:history="0" w:anchor="P109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навыков, таких как: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64" w:name="P464"/>
    <w:bookmarkEnd w:id="464"/>
    <w:p>
      <w:pPr>
        <w:pStyle w:val="2"/>
        <w:outlineLvl w:val="2"/>
        <w:jc w:val="both"/>
      </w:pPr>
      <w:r>
        <w:rPr>
          <w:sz w:val="24"/>
        </w:rPr>
        <w:t xml:space="preserve">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</w:t>
      </w:r>
      <w:hyperlink w:history="0" w:anchor="P110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(включая оплату проезда), в том числе с учетом оборудования транспортных средств специальными приспособлениями (поручни, опорные устройства);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другое.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оплату проезда в общественном транспорте);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(включая оплату проезда), в том числе с учетом оборудования транспортных средств специальными приспособлениями (поручни, опорные устройства);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554" w:name="P554"/>
    <w:bookmarkEnd w:id="554"/>
    <w:p>
      <w:pPr>
        <w:pStyle w:val="2"/>
        <w:outlineLvl w:val="2"/>
        <w:jc w:val="both"/>
      </w:pPr>
      <w:r>
        <w:rPr>
          <w:sz w:val="24"/>
        </w:rPr>
        <w:t xml:space="preserve">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</w:t>
      </w:r>
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(трости для ходьбы, кресла-коляски; перчатки для пользования креслом-коляской; мягкие прокладки, подушки, предотвращающие ушибы и повреждения кожи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протезе или кресле-коляске (при необходимости) на объектах социальной, инженерной, транспортной, информационной и других инфраструктур, включая передвижение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езды на кресло-коляске"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643" w:name="P643"/>
    <w:bookmarkEnd w:id="643"/>
    <w:p>
      <w:pPr>
        <w:pStyle w:val="2"/>
        <w:outlineLvl w:val="2"/>
        <w:jc w:val="both"/>
      </w:pPr>
      <w:r>
        <w:rPr>
          <w:sz w:val="24"/>
        </w:rPr>
        <w:t xml:space="preserve">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</w:t>
      </w:r>
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(подъемники для перемещения человека, сидящего в кресле-коляске, при посадке в транспортное средство или высадке из него; перчатки для пользования креслом-коляской; мягкие прокладки, подушки, предотвращающие ушибы и повреждения кожи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или кресле-коляске (при необходимости) на объектах социальной, инженерной, транспортной, информационной и других инфраструктур, включая передвижение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езды на кресло-коляске"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732" w:name="P732"/>
    <w:bookmarkEnd w:id="732"/>
    <w:p>
      <w:pPr>
        <w:pStyle w:val="2"/>
        <w:outlineLvl w:val="2"/>
        <w:jc w:val="both"/>
      </w:pPr>
      <w:r>
        <w:rPr>
          <w:sz w:val="24"/>
        </w:rPr>
        <w:t xml:space="preserve">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 (верхних и (или) нижних конечностей),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(защита кожи от ушибов и повреждений);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(трости для ходьбы, кресла-коляски; перчатки для пользования креслом-коляской; мягкие прокладки, подушки, предотвращающие ушибы и повреждения кожи,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(протезе) или кресле-коляске (при необходимости) на объектах социальной, инженерной, транспортной, информационной и других инфраструктур, включая передвижение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езды на кресло-коляске" и "Школа ходьбы (на протезе)"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протезы (верхних и (или) нижних конечностей),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826" w:name="P826"/>
    <w:bookmarkEnd w:id="826"/>
    <w:p>
      <w:pPr>
        <w:pStyle w:val="2"/>
        <w:outlineLvl w:val="2"/>
        <w:jc w:val="both"/>
      </w:pPr>
      <w:r>
        <w:rPr>
          <w:sz w:val="24"/>
        </w:rPr>
        <w:t xml:space="preserve">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</w:t>
      </w:r>
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(кресла-коляски с электроприводом, активные кресла-коляски)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(кресла-коляски различного типа; перчатки для пользования креслом-коляской; мягкие прокладки, подушки, предотвращающие ушибы и повреждения кожи,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кресле-коляске (при необходимости) на объектах социальной, инженерной, транспортной, информационной и других инфраструктур, включая передвижение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одиночным ступенькам, бордюрам, горкам и другое) в рамках занятий "Школа езды на кресло-коляске"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(кресла-коляски с электроприводом, активные кресла-коляски)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914" w:name="P914"/>
    <w:bookmarkEnd w:id="914"/>
    <w:p>
      <w:pPr>
        <w:pStyle w:val="2"/>
        <w:outlineLvl w:val="2"/>
        <w:jc w:val="both"/>
      </w:pPr>
      <w:r>
        <w:rPr>
          <w:sz w:val="24"/>
        </w:rPr>
        <w:t xml:space="preserve">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</w:t>
      </w:r>
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(защита кожи от ушибов и повреждений);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(трости для ходьбы, кресла-коляски; перчатки для пользования креслом-коляской; мягкие прокладки, подушки, предотвращающие ушибы и повреждения кожи,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кресле-коляске (при необходимости) на объектах социальной, инженерной, транспортной, информационной и других инфраструктур, включая передвижение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езды на кресло-коляске"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(трости для ходьбы, кресла-коляски (при необходимости) и другое;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пол, дополнительные места для лиц с инвалидностью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002" w:name="P1002"/>
    <w:bookmarkEnd w:id="1002"/>
    <w:p>
      <w:pPr>
        <w:pStyle w:val="2"/>
        <w:outlineLvl w:val="2"/>
        <w:jc w:val="both"/>
      </w:pPr>
      <w:r>
        <w:rPr>
          <w:sz w:val="24"/>
        </w:rPr>
        <w:t xml:space="preserve">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</w:t>
      </w:r>
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передвижения и ориентировки (включая ориентировку внутри сооружений городской инфраструктуры, на улице)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(спутниковые навигаторы с текстовым выходом информации, спутниковые 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 и другое),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организации) и покупки билетов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(действующая 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(спутниковые навигаторы, спутниковые брелки);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(спутниковые навигаторы, спутниковые брелки);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передвижения,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(спутниковые 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других),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(спутниковые навигаторы с текстовым, звуковым выводом информации, коммуникаторы, знаковые системы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родственников,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 (включая ориентировку внутри сооружений городской инфраструктуры, на улице) в рамках социальной, инженерной и транспортной инфраструктур с учетом доступности среды, в том числе с использованием ТСР и вспомогательных устройств (спутниковые навигаторы с текстовым выходом информации, спутниковые 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 и другое),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организации) и покупки билетов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120" w:name="P1120"/>
    <w:bookmarkEnd w:id="1120"/>
    <w:p>
      <w:pPr>
        <w:pStyle w:val="2"/>
        <w:outlineLvl w:val="2"/>
        <w:jc w:val="both"/>
      </w:pPr>
      <w:r>
        <w:rPr>
          <w:sz w:val="24"/>
        </w:rPr>
        <w:t xml:space="preserve">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по тифлосурдопереводу)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движения; бегущая строка и мигающие маячки направления движения на картах; предупредительные знаки "Желтый круг"; действующая система радиоинформирования и звукового ориентирования и так далее),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информационно-знаковых систем, вспомогательных средств (тактильные мнемосхемы, таблички, указатели, звуковые маяки)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(спутниковые навигаторы с речевым выходом, трость белая тактильная с различными наконечниками, умный помощник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других),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пиктограмм, социальных сетей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лиц с нарушением зрения и (или) слуха,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спутниковые 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 и остановки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ассистивно-коммуникационными средствами (коммуникаторы,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инвалида в окружающей среде (оценка возможности самоконтроля инвалида и его информированности о действиях, необходимых при ухудшении состояния (нарушение дыхания, глотания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так далее),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38" w:name="P1238"/>
    <w:bookmarkEnd w:id="1238"/>
    <w:p>
      <w:pPr>
        <w:pStyle w:val="2"/>
        <w:outlineLvl w:val="2"/>
        <w:jc w:val="both"/>
      </w:pPr>
      <w:r>
        <w:rPr>
          <w:sz w:val="24"/>
        </w:rPr>
        <w:t xml:space="preserve">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</w:t>
      </w:r>
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(действующая система радиоинформирования и звукового ориентирования),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(спутниковые навигаторы с речевым выходом, трость белая тактильная с различными наконечниками, собака-проводник, умный помощник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зрения, в том числе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зрительных функций, в том числе о тактильных экспонатах, этикетках, напечатанных шрифтом Брайля, тифлоаудиогидах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(виды наконечников (учитывая сезонность и функционал), правильный захват трости, различные техники использования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(спутниковые 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ориентирования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ориентирования (спутниковые навигаторы со звуковым выходом информации,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специальными мобильными приложениями с функцией управления голосом (голосовой экранный доступ) для построения маршрута пути, ориентировки на местности, идентификации знаков, объектов, препятствий на пути, совершения покупок, определения купюр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(включая адаптированные анкеты, использование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349" w:name="P1349"/>
    <w:bookmarkEnd w:id="1349"/>
    <w:p>
      <w:pPr>
        <w:pStyle w:val="2"/>
        <w:outlineLvl w:val="2"/>
        <w:jc w:val="both"/>
      </w:pPr>
      <w:r>
        <w:rPr>
          <w:sz w:val="24"/>
        </w:rPr>
        <w:t xml:space="preserve">34. Инвалиды, получившие ранение (травму, контузию, увечье) или заболевание в связи с участием в боевых действиях, с последствиями поражения органа слуха </w:t>
      </w:r>
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устройств, а также потребности сопровождения реабилитационного курса услугами переводчика русского жестового языка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слуха,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(индукционные петли,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ориентирования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устройств (спутниковые навигаторы с текстовым выходом информации,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440" w:name="P1440"/>
    <w:bookmarkEnd w:id="1440"/>
    <w:p>
      <w:pPr>
        <w:pStyle w:val="2"/>
        <w:outlineLvl w:val="2"/>
        <w:jc w:val="both"/>
      </w:pPr>
      <w:r>
        <w:rPr>
          <w:sz w:val="24"/>
        </w:rPr>
        <w:t xml:space="preserve">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включая правила здоровьесберегающего поведения и соблюдения личной гигиены, а также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кало- или уроприемника,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подготовка необходимых средств и материалов для смены калоприемника или уроприемника,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алгоритма действий при резком ухудшении самочувствия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социального и средового взаимодействия в различных ситуациях нахождения инвалида на объектах городской среды (транспортной, культурной 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карточек", использование голосового клапана 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учреждений, посредством электронных услуг (электронные карты и другое), а также покупку авиа- и железнодорожных билетов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521" w:name="P1521"/>
    <w:bookmarkEnd w:id="1521"/>
    <w:p>
      <w:pPr>
        <w:pStyle w:val="2"/>
        <w:outlineLvl w:val="2"/>
        <w:jc w:val="both"/>
      </w:pPr>
      <w:r>
        <w:rPr>
          <w:sz w:val="24"/>
        </w:rPr>
        <w:t xml:space="preserve">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</w:t>
      </w:r>
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социально-средового анамнеза инвалида, в том числе опрос, анкетирование (при необходимости с использованием адаптированных бланков и (или) с опорой на сохранные анализаторы),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заработной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 о действующей системе радиоинформирования и звукового ориентирования (включая устройства звукового сопровождения на светофорах), о тактильных и (или) тактильно-звуковых мнемосхемах,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информационной), а также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включая правила здоровьесберегающего поведения и соблюдения личной гигиены, а также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безопасного нахождения в условиях социальной среды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 (использование шумоподавляющих наушников при вероятности громких звуков; солнцезащитных очков при гиперчувствительности к ярким источникам света)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сенсорных функций (зрения) собакой-проводником и порядке организации обеспечения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с использованием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преодоления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колясочника" и "Школа ходьбы (на протезе)"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посадки-высадки из автомобиля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оповещением, специальными приспособлениями (откидной низкий пол, поручни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других), в том числе умения обращаться за помощью в рамках средового взаимодействия с социумом, в частности, при ухудшении самочувствия, а также потребности в помощи окружающих, в целом (в том числе формирование алгоритма помощи; контактные данные родственника, лечащего врача на бумажном носителе по типу "тревожных карточек"), включая использование средств АДК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при резком ухудшении самочувствия в условиях градостроительной, транспортной и других инфраструктур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терминалами регистрации электронных услуг (в том числе услуги медицинских учреждений), а также электронными ресурсами (электронные карты и другое), включая покупку авиа- и железнодорожных билетов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и тому подобное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необходимости с использованием адаптированных бланков, оптических средств коррекции слабовидения и (или) с опорой на сохранные анализаторы);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заработной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640" w:name="P1640"/>
    <w:bookmarkEnd w:id="1640"/>
    <w:p>
      <w:pPr>
        <w:pStyle w:val="2"/>
        <w:outlineLvl w:val="2"/>
        <w:jc w:val="both"/>
      </w:pPr>
      <w:r>
        <w:rPr>
          <w:sz w:val="24"/>
        </w:rPr>
        <w:t xml:space="preserve">37. Инвалиды, получившие травму, ранение, контузию, увечье в связи с боевыми действиями </w:t>
      </w:r>
      <w:hyperlink w:history="0" w:anchor="P122" w:tooltip="ЦРГ 13 - инвалиды, получившие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социально-средового анамнеза инвалида, в том числе опрос, анкетирование (при необходимости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навыков, таких как: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персональная сохранность в окружающей среде (оценка возможности самоконтроля инвалида и его информированности о действиях, необходимых при резком ухудшении самочувствия (одышка, отеки, гипо-, гипергликемические состояния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(поручни, откидной низкий пол, "Голосовая остановка" и другое) и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ориентировка, включая ориентировку внутри сооружений городской инфраструктуры, на улице, в том числе с использованием ТСР и вспомогательных устройств (ССН-навигаторы с речевым выходом и возможностью голосового набора или со встроенными видеоувеличителями (лупами)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и пользование визуальными инструкциями и подсказками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обращение за помощью и коммуникативное взаимодействие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 о системе радиоинформирования и звукового ориентирования; звуковых приставках на светофорах; о маркировке тактильной плиткой опасных участков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адаптированные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безопасного нахождения в условиях социальной среды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 (использование шумоподавляющих наушников при вероятности громких звуков, солнцезащитных очков при гиперчувствительности к ярким источникам света)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сенсорных функций (зрения) собакой-проводником и порядке организации обеспечения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далее), транспортных средств (включая авиаперелеты)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с использованием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посадки-высадки из автомобиля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оповещением, специальными приспособлениями (откидной низкий пол, поручни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социумом, в частности, при ухудшении самочувствия;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карточек"), включая использование средств АДК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в условиях градостроительной, транспортной и другое инфраструктур (одышка, отеки, гипо-, гипергликемические состояния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посредством электронных услуг (электронные карты и другое), а также покупку авиа- и железнодорожных билетов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необходимости с использованием адаптированных анкет,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навыков, таких как: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персональная сохранность в окружающей среде (оценка возможности самоконтроля инвалида и его информированности о действиях, необходимых при резком ухудшении самочувствия (одышка, отеки, гипо-, гипергликемические состояния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(поручни, откидной низкий пол, "Голосовая остановка" и другое) и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ориентировка, включая ориентировку внутри сооружений городской инфраструктуры, на улице, в том числе с использованием ТСР и вспомогательных устройств (ССН-навигаторы с речевым выходом и возможностью голосового набора или со встроенными видеоувеличителями (лупами)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и пользование визуальными инструкциями и подсказками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обращение за помощью и коммуникативное взаимодействие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744" w:name="P1744"/>
    <w:bookmarkEnd w:id="1744"/>
    <w:p>
      <w:pPr>
        <w:pStyle w:val="2"/>
        <w:outlineLvl w:val="2"/>
        <w:jc w:val="both"/>
      </w:pPr>
      <w:r>
        <w:rPr>
          <w:sz w:val="24"/>
        </w:rPr>
        <w:t xml:space="preserve">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23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поручни,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танцах,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услуг, 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32" w:name="P1832"/>
    <w:bookmarkEnd w:id="1832"/>
    <w:p>
      <w:pPr>
        <w:pStyle w:val="2"/>
        <w:outlineLvl w:val="2"/>
        <w:jc w:val="both"/>
      </w:pPr>
      <w:r>
        <w:rPr>
          <w:sz w:val="24"/>
        </w:rPr>
        <w:t xml:space="preserve">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24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оплата проезда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танцах,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(обучение оплате проезда в общественном транспорте)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услуг, 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922" w:name="P1922"/>
    <w:bookmarkEnd w:id="1922"/>
    <w:p>
      <w:pPr>
        <w:pStyle w:val="2"/>
        <w:outlineLvl w:val="2"/>
        <w:jc w:val="both"/>
      </w:pPr>
      <w:r>
        <w:rPr>
          <w:sz w:val="24"/>
        </w:rPr>
        <w:t xml:space="preserve">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протезе или кресле-коляске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руками,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протезе или кресле-коляске (при необходимости) по различной поверхности (асфальт, гравий, песок и так 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009" w:name="P2009"/>
    <w:bookmarkEnd w:id="2009"/>
    <w:p>
      <w:pPr>
        <w:pStyle w:val="2"/>
        <w:outlineLvl w:val="2"/>
        <w:jc w:val="both"/>
      </w:pPr>
      <w:r>
        <w:rPr>
          <w:sz w:val="24"/>
        </w:rPr>
        <w:t xml:space="preserve">41. Инвалиды, получившие травму, ранение, контузию, увечье в связи с боевыми действиями, вследствие приобретенного отсутствия обеих нижних конечностей </w:t>
      </w:r>
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13.4)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(включая подъемники для перемещения человека, сидящего в кресле-коляске, при посадке в транспортное средство или высадке из него);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или кресле-коляске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руками,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на протезах или кресле-коляске по различной поверхности (асфальт, гравий, песок и так 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096" w:name="P2096"/>
    <w:bookmarkEnd w:id="2096"/>
    <w:p>
      <w:pPr>
        <w:pStyle w:val="2"/>
        <w:outlineLvl w:val="2"/>
        <w:jc w:val="both"/>
      </w:pPr>
      <w:r>
        <w:rPr>
          <w:sz w:val="24"/>
        </w:rPr>
        <w:t xml:space="preserve">42. Инвалиды, получившие травму, ранение, контузию, увечье в связи с боевыми действиями, с последствиями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13.5)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(защита кожи от ушибов и повреждений);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(трости для ходьбы, кресла-коляски; перчатки для пользования креслом-коляской; мягкие прокладки, подушки, предотвращающие ушибы и повреждения кожи,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передвижения, в том числе на кресле-коляске, по различной поверхности (асфальт, гравий, песок и так далее), а также умения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2185" w:name="P2185"/>
    <w:bookmarkEnd w:id="2185"/>
    <w:p>
      <w:pPr>
        <w:pStyle w:val="2"/>
        <w:outlineLvl w:val="2"/>
        <w:jc w:val="both"/>
      </w:pPr>
      <w:r>
        <w:rPr>
          <w:sz w:val="24"/>
        </w:rPr>
        <w:t xml:space="preserve">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13.6)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передвижения, в том числе в кресле-коляске по различной поверхности (асфальт, гравий, песок и так далее), а также умения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услуг, 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279" w:name="P2279"/>
    <w:bookmarkEnd w:id="2279"/>
    <w:p>
      <w:pPr>
        <w:pStyle w:val="2"/>
        <w:outlineLvl w:val="2"/>
        <w:jc w:val="both"/>
      </w:pPr>
      <w:r>
        <w:rPr>
          <w:sz w:val="24"/>
        </w:rPr>
        <w:t xml:space="preserve">44. Инвалиды, получившие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13.7)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инвалида посредством беседы, опроса, анкетирования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ТСР и ассистивных технологий (вход в метро, посадка в машину, покупки продуктов и другое)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откидной низкий пол, поручни, дополнительные места, опорные устройства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текстовым, звуковым выводом информации, коммуникаторы, знаковые системы;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родственников,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услуг, 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 у края платформы, вблизи водоемов и так далее, в том числе с целью минимизации риска получения травмы во время ухудшения самочувствия;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378" w:name="P2378"/>
    <w:bookmarkEnd w:id="2378"/>
    <w:p>
      <w:pPr>
        <w:pStyle w:val="2"/>
        <w:outlineLvl w:val="2"/>
        <w:jc w:val="both"/>
      </w:pPr>
      <w:r>
        <w:rPr>
          <w:sz w:val="24"/>
        </w:rPr>
        <w:t xml:space="preserve">45. Инвалиды, получившие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13.8)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 и другое),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организации) и покупки билетов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социально-средовых условиях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других),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текстовым, звуковым выводом информации, коммуникаторы, знаковые системы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родственников, близких людей, лечащего врача, в том числе хранение данной информации на бумажном носителе по типу "тревожных карточек";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 и другое),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услуг, медицинские организации) и покупки билетов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491" w:name="P2491"/>
    <w:bookmarkEnd w:id="2491"/>
    <w:p>
      <w:pPr>
        <w:pStyle w:val="2"/>
        <w:outlineLvl w:val="2"/>
        <w:jc w:val="both"/>
      </w:pPr>
      <w:r>
        <w:rPr>
          <w:sz w:val="24"/>
        </w:rPr>
        <w:t xml:space="preserve">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13.9)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так далее),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по тифлосурдопереводу)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движения; бегущая строка и мигающие маячки направления движения на картах; предупредительные знаки "Желтый круг"; действующая система радиоинформирования и звукового ориентирования и так далее),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подсказок, информационно-знаковых систем, вспомогательных средств (тактильные мнемосхемы, таблички, указатели, звуковые маяки)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(спутниковые навигаторы с речевым выходом, трость белая тактильная с различными наконечниками, умный помощник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и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пиктограмм, социальных сетей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лиц с нарушением зрения, слуха,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спутниковые 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 и остановки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ассистивно-коммуникационными средствами (коммуникаторы,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билетными автоматами, терминалами регистрации электронных услуг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инвалида в окружающей среде (оценка возможности самоконтроля инвалида и его информированности о действиях, необходимых при ухудшении состояния (нарушение дыхания, глотания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так далее),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607" w:name="P2607"/>
    <w:bookmarkEnd w:id="2607"/>
    <w:p>
      <w:pPr>
        <w:pStyle w:val="2"/>
        <w:outlineLvl w:val="2"/>
        <w:jc w:val="both"/>
      </w:pPr>
      <w:r>
        <w:rPr>
          <w:sz w:val="24"/>
        </w:rPr>
        <w:t xml:space="preserve">47. Инвалиды, получившие травму, ранение, контузию, увечье в связи с боевыми действиями, вследствие поражения органа зрения </w:t>
      </w:r>
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13.10)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(действующая система радиоинформирования и звукового ориентирования),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(спутниковые навигаторы с речевым выходом, трость белая тактильная с различными наконечниками, собака-проводник, умный помощник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зрения, в том числе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зрительных функций, в том числе о тактильных экспонатах, этикетках, напечатанных шрифтом Брайля, тифлоаудиогидах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и передвижения с помощью трости белой тактильной (виды наконечников (учитывая сезонность и функционал), правильный захват трости, различные техники использования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(спутниковые 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ориентирования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ориентирования (спутниковые навигаторы со звуковым выходом информации,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специальными мобильными приложениями с функцией управления голосом (голосовой экранный доступ) для построения маршрута пути, ориентировки на местности, идентификации знаков, объектов, препятствий на пути, совершения покупок, определения купюр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 (пользования личным кабинетом на интернет-портале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(включая адаптированные анкеты, использование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звуковые сигнализаторы;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2714" w:name="P2714"/>
    <w:bookmarkEnd w:id="2714"/>
    <w:p>
      <w:pPr>
        <w:pStyle w:val="2"/>
        <w:outlineLvl w:val="2"/>
        <w:jc w:val="both"/>
      </w:pPr>
      <w:r>
        <w:rPr>
          <w:sz w:val="24"/>
        </w:rPr>
        <w:t xml:space="preserve">48. Инвалиды, получившие травму, ранение, контузию, увечье в связи с боевыми действиями, вследствие поражения органа слуха </w:t>
      </w:r>
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13.11)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устройств, а также потребности сопровождения реабилитационного курса услугами переводчика русского жестового языка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слуха,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(индукционные петли,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ориентирования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устройств (спутниковые навигаторы с текстовым выходом информации,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808" w:name="P2808"/>
    <w:bookmarkEnd w:id="2808"/>
    <w:p>
      <w:pPr>
        <w:pStyle w:val="2"/>
        <w:outlineLvl w:val="2"/>
        <w:jc w:val="both"/>
      </w:pPr>
      <w:r>
        <w:rPr>
          <w:sz w:val="24"/>
        </w:rPr>
        <w:t xml:space="preserve">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13.12)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в целях сбора социально-средового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(одышка,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обращение за помощью и коммуникативное взаимодействие инвалида с представителями социума в социально-средовых условиях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туризма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кало- или уроприемника,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подготовка необходимых средств и материалов для смены калоприемника или уроприемника,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алгоритма действий при резком ухудшении самочувствия в условиях градостроительной, транспортной и другое инфраструктур (в частности, одышка, отеки, гипо-, гипергликемические состояния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социального и средового взаимодействия в различных ситуациях нахождения инвалида на объектах городской среды (транспортной, культурной 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карточек", использование голосового клапана 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коммуникации,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государственными услугами, включая услуги медицинских учреждений, посредством электронных услуг (электронные карты и другое), а также покупку авиа- и железнодорожных билетов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инвалида в окружающей среде (оценка возможности самоконтроля инвалида и его информированности о действиях, необходимых при резком ухудшении самочувствия (одышка,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предоставленными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884" w:name="P2884"/>
    <w:bookmarkEnd w:id="2884"/>
    <w:p>
      <w:pPr>
        <w:pStyle w:val="2"/>
        <w:outlineLvl w:val="2"/>
        <w:jc w:val="both"/>
      </w:pPr>
      <w:r>
        <w:rPr>
          <w:sz w:val="24"/>
        </w:rPr>
        <w:t xml:space="preserve">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13.13)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454"/>
        <w:gridCol w:w="8333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социально-средового анамнеза инвалида, в том числе опрос, анкетирование (при необходимости с использованием адаптированных бланков и (или) с опорой на сохранные анализаторы), при необходимости сбор сведений о ранее выданных инвалиду собаках-проводниках;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 о действующей системе радиоинформирования и звукового ориентирования (включая устройства звукового сопровождения на светофорах), о тактильных и (или) тактильно-звуковых мнемосхемах,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инвалида в социальной среде (городской, транспортной, информационной), а также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региональных диспетчерских служб для инвалидов по слуху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видах культурно-досуговой деятельности (посещение театров, концертов,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слуха, в том числе о наличии показа в кинотеатрах сеансов национальных фильмов с субтитрами;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инвалидами, и о способах взаимодействия с ними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окружающей среде (градостроительной, образовательной, производственной), включая правила здоровьесберегающего поведения и соблюдения личной гигиены, а также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безопасного нахождения в условиях социальной среды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инвалида к условиям внешней среды (использование шумоподавляющих наушников при вероятности громких звуков; солнцезащитных очков при гиперчувствительности к ярким источникам света)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показаний и противопоказаний к обеспечению инвалидов с нарушением сенсорных функций (зрения) собакой-проводником и порядке организации обеспечения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объектов по субъектам Российской Федерации", портала "Доступная среда"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социально-средовой реабилитации и абилитации, по запросу инвалида и (или)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 и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с использованием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преодоления барьеров, связанных с доступом к различным объектам городской инфраструктуры (спуск-подъем по пандусу, лестничным маршам (с перилами, без перил), одиночным ступенькам, бордюрам, горкам и другое) в рамках занятий "Школа колясочника" и "Школа ходьбы (на протезе)"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самостоятельной посадки-высадки из автомобиля (с учетом владения техникой складывания-раскладывания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оповещением, специальными приспособлениями (откидной низкий пол, поручни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других), в том числе умения обращаться за помощью в рамках средового взаимодействия с социумом, в частности, при ухудшении самочувствия, а также потребности в помощи окружающих, в целом (в том числе формирование алгоритма помощи; контактные данные родственника, лечащего врача на бумажном носителе по типу "тревожных карточек"), включая использование средств АДК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при резком ухудшении самочувствия в условиях градостроительной, транспортной и других инфраструктур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банкоматами, терминалами регистрации электронных услуг (в том числе услуги медицинских учреждений), а также электронными ресурсами (электронные карты и другое), включая покупку авиа- и железнодорожных билетов и так далее;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Неиндивидуальный,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использования, при необходимости, собаки-проводника;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картой доступности социальных объектов и тому подобное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необходимости с использованием адаптированных бланков, оптических средств коррекции слабовидения и (или) с опорой на сохранные анализаторы);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инвалида и его информированности о действиях, необходимых при резком ухудшении самочувствия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(кресла-коляски; телефонные устройства с невизуальным доступом; спутниковые навигаторы с речевым выходом и возможностью голосового набора или со встроенными видеоувеличителями (лупами); трости белые тактильные и другое), включая собак-проводников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и информационными системами со звуковым оповещением (поручни; откидной низкий пол; система радиоинформирования и звукового ориентирования и другое),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визуальных инструкций и подсказок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поведения в обычной и экстремальной ситуациях (при встрече с агрессивно настроенным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повторной социально-средовой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реабилитационного курса на основании определения динамики социально-средового статуса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(члена семьи)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3007" w:name="P3007"/>
    <w:bookmarkEnd w:id="3007"/>
    <w:p>
      <w:pPr>
        <w:pStyle w:val="2"/>
        <w:outlineLvl w:val="2"/>
        <w:jc w:val="both"/>
      </w:pPr>
      <w:r>
        <w:rPr>
          <w:sz w:val="24"/>
        </w:rPr>
        <w:t xml:space="preserve">51. Показатели продолжительности реабилитационных мероприятий социально-средовой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236"/>
        <w:gridCol w:w="226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(первичная (входящая) и повторная (контрольная)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025" w:name="P3025"/>
    <w:bookmarkEnd w:id="3025"/>
    <w:p>
      <w:pPr>
        <w:pStyle w:val="2"/>
        <w:outlineLvl w:val="2"/>
        <w:jc w:val="both"/>
      </w:pPr>
      <w:r>
        <w:rPr>
          <w:sz w:val="24"/>
        </w:rPr>
        <w:t xml:space="preserve">52. Показатели кратности реабилитационных мероприятий социально-средовой реабилитации и абилитации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9"/>
        <w:gridCol w:w="1643"/>
        <w:gridCol w:w="1643"/>
        <w:gridCol w:w="1643"/>
        <w:gridCol w:w="1643"/>
        <w:gridCol w:w="1646"/>
      </w:tblGrid>
      <w:tr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социально-средовой реабилитации и абилитации</w:t>
            </w:r>
          </w:p>
        </w:tc>
        <w:tc>
          <w:tcPr>
            <w:tcW w:w="16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Социально-средовая диагностика (константа)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09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0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3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4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859" w:type="dxa"/>
          </w:tcPr>
          <w:p>
            <w:pPr>
              <w:pStyle w:val="0"/>
              <w:jc w:val="center"/>
            </w:pP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1 - 15</w:t>
            </w:r>
          </w:p>
        </w:tc>
        <w:tc>
          <w:tcPr>
            <w:tcW w:w="1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203" w:name="P3203"/>
    <w:bookmarkEnd w:id="3203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Раздел VIII. Примерный перечень необходимого реабилитационного оборудования (вспомогательных средств и технических средств реабилитации), которым должна быть оснащена реабилитационная организация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268"/>
        <w:gridCol w:w="1361"/>
        <w:gridCol w:w="5046"/>
        <w:gridCol w:w="853"/>
        <w:gridCol w:w="853"/>
        <w:gridCol w:w="2664"/>
      </w:tblGrid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3619" w:tooltip="&lt;8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3620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50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ходьбе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04 48 07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Тренажеры для развития координации движения;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белая тактильная;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дорожка для ходьбы (езды на кресле-коляске) с газоном, дорожка для ходьбы (езды на кресле-коляске) с гравием, дорожка для ходьбы (езды на кресле-коляске) с имитацией неровной поверхности, дорожка для ходьбы (езды на кресле-коляске) с песком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персональной мобильности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05 33 09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обучения ходьбе (лестница для обучения ходьбе, брусья для ходьбы, различные ходунки) и пользованию креслом-коляской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и обучения способности ориентироваться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04 36 06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для дверных проемов;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 направление движения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наручные часы (в том числе тактильные) с речевым выходом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 и речевым вводом и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приложениями картографического сервиса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обращаться с деньгами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05 15 12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Определитель номинала купюр с речевым выходом;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держатель для монет с рельефными обозначениями;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предустановленными мобильными банковскими приложениями с программой экранного доступа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карточки с изображением эмоциональных состояний человека;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демонстрационные плакаты и альбомы, видеопрезентации по соответствующей тематике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 остальные ЦРГ - при необходимости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личной безопасности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05 27 09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стенды, плакаты и знаки безопасности (в том числе дорожные);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книги-памятки для пациентов различных нозологий,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оказанию первой помощи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тактильные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оповещения для людей с нарушением слуха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Наглядные материалы (памятки) по передвижению инвалида в кресле-коляске с электроприводом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передвижения вне дома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05 27 12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информационные брошюры, плакаты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информационные стенды, звуковые информаторы;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терминалы и стойки со встроенной индукционной петлей;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оснащенные индукционным контуром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Пиктограммы и таблички для обозначения туалетов, эскалаторов, медицинских пунктов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обеими руками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12 06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подмышечной опорой на четырех колесах;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опорой на предплечье;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шагающие складные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13,8</w:t>
              </w:r>
            </w:hyperlink>
            <w:r>
              <w:rPr>
                <w:sz w:val="24"/>
              </w:rPr>
              <w:t xml:space="preserve">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одной рукой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12 03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опорная, пирамидная (опора на 4 ножки), трость-стул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13,8</w:t>
              </w:r>
            </w:hyperlink>
            <w:r>
              <w:rPr>
                <w:sz w:val="24"/>
              </w:rPr>
              <w:t xml:space="preserve">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обеспечения стабилизации (устойчивости) тела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09 07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безопасности, пояса, привязные ремни;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 и страховочные ремни для моторизованных транспортных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принадлежности для сидений, в том числе и для сидений кресел-колясок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13,8</w:t>
              </w:r>
            </w:hyperlink>
            <w:r>
              <w:rPr>
                <w:sz w:val="24"/>
              </w:rPr>
              <w:t xml:space="preserve">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нательные средства для защиты тела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09 06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Мягкие прокладки, подушки и другие принадлежности средств для ходьбы, предотвращающие ушибы или повреждение кожи;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носки для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перчатки для пользования креслом-коляской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13,8</w:t>
              </w:r>
            </w:hyperlink>
            <w:r>
              <w:rPr>
                <w:sz w:val="24"/>
              </w:rPr>
              <w:t xml:space="preserve">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ориентации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12 39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трости или белые палки </w:t>
            </w: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(12 39 03)</w:t>
              </w:r>
            </w:hyperlink>
            <w:r>
              <w:rPr>
                <w:sz w:val="24"/>
              </w:rPr>
              <w:t xml:space="preserve"> </w:t>
            </w:r>
            <w:hyperlink w:history="0" w:anchor="P3621" w:tooltip="&lt;10&gt; В данной графе наименование вспомогательных средств и код подкласса приведен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трости белые тактильные с различными наконечниками (грибовидный, шарообразный, цилиндрический и другое)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ССН-навигаторы с речевым выходом и возможностью голосового набора;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системы для лиц с нарушением зрительных функций (в частности, "Парус");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электронные трости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ультразвуковые навигационные браслеты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 приложениями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с яркой визуальной индикацией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акустические средства ориентации </w:t>
            </w: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(12 39 09)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радиозвуковые маяки (для пешеходных переходов, для автотранспорта, для зданий, для лифтовой системы и другое)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карты </w:t>
            </w: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(12 39 15)</w:t>
              </w:r>
            </w:hyperlink>
            <w:r>
              <w:rPr>
                <w:sz w:val="24"/>
              </w:rPr>
              <w:t xml:space="preserve">: тактильно-звуковые 2D- и 3D-карты, плакаты; мнемосхемы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средства для ориентации </w:t>
            </w: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(12 39 18)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поручни, тактильная плитка;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мнемосхемы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визуальной ориентации </w:t>
            </w: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(12 39 21)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таблички, стрелки, указатели;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визуально-информационные табло;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карты метро, района, города в электронном и печатном формате;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ручным приводом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12 22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механическая, с ручным приводом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13,8</w:t>
              </w:r>
            </w:hyperlink>
            <w:r>
              <w:rPr>
                <w:sz w:val="24"/>
              </w:rPr>
              <w:t xml:space="preserve">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электроприводом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12 23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с электроприводом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лупы (в том числе линза Френеля), линзы с подсветкой;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ручные и портативные видеоувеличители;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цифровые увеличители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 </w:t>
            </w: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(22 06 06)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 </w:t>
            </w: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(22 06 09)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 </w:t>
            </w: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(22 06 12)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 </w:t>
            </w: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(22 06 15)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Индукционно-петлевые устройства (в том числе портативные индукционные петли)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61" w:tooltip="Ссылка на КонсультантПлюс">
              <w:r>
                <w:rPr>
                  <w:sz w:val="24"/>
                  <w:color w:val="0000ff"/>
                </w:rPr>
                <w:t xml:space="preserve">22 18 30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Индукционные системы, расположенные в кассовых зонах, на стойках информации, в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индукционные петли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62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букв, символов и наборные панели </w:t>
            </w:r>
            <w:hyperlink w:history="0" r:id="rId63" w:tooltip="Ссылка на КонсультантПлюс">
              <w:r>
                <w:rPr>
                  <w:sz w:val="24"/>
                  <w:color w:val="0000ff"/>
                </w:rPr>
                <w:t xml:space="preserve">(22 21 03)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разные виды логографической или идеографической письменности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Диалоговая аппаратура </w:t>
            </w: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(22 21 09)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текстофоны и другие системы связи, работающие по принципу преобразования входящего речевого сигнала в текст;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 (в частности, кнопки-коммуникаторы, портативные коммуникаторы на пояс, коммуникаторы с составленными экранными панелями и другое)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связи "лицом к лицу" </w:t>
            </w: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(22 21 12)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сервисы видеоконференций;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программы для создания пиктограмм и символов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Смартфоны, синтезирующие устную речь в текстовый формат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функциями универсального (экранного) доступа (специальные настройки телефона для получение информации с экрана дисплея без использования 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(смартфоны);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телефонные аппараты с брайлевским вводом и выводом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(в том числе для смартфонов и коммуникаторов) с функцией синтезатора речи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сигнализации, индикации, напоминания и подачи сигналов тревоги (опасности)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22 27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Персональные системы аварийной сигнализации </w:t>
            </w:r>
            <w:hyperlink w:history="0" r:id="rId68" w:tooltip="Ссылка на КонсультантПлюс">
              <w:r>
                <w:rPr>
                  <w:sz w:val="24"/>
                  <w:color w:val="0000ff"/>
                </w:rPr>
                <w:t xml:space="preserve">(22 27 18)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тревожные кнопки, датчики обнаружения падения, медицинские браслеты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12,12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мониторинга и позиционирования </w:t>
            </w:r>
            <w:hyperlink w:history="0" r:id="rId69" w:tooltip="Ссылка на КонсультантПлюс">
              <w:r>
                <w:rPr>
                  <w:sz w:val="24"/>
                  <w:color w:val="0000ff"/>
                </w:rPr>
                <w:t xml:space="preserve">(22 27 24)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определения местоположения (ССН-брелоки, часы с функцией отслеживания местоположения, приложения для мобильного телефона)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маркировки и инструменты для маркировки </w:t>
            </w:r>
            <w:hyperlink w:history="0" r:id="rId70" w:tooltip="Ссылка на КонсультантПлюс">
              <w:r>
                <w:rPr>
                  <w:sz w:val="24"/>
                  <w:color w:val="0000ff"/>
                </w:rPr>
                <w:t xml:space="preserve">(22 27 27)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знаки, символы, ярлыки и этикетки разных форм (в том числе с тактильными обозначениями), голосовые метки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Терминалы для общественной информации/транзакции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1" w:tooltip="Ссылка на КонсультантПлюс">
              <w:r>
                <w:rPr>
                  <w:sz w:val="24"/>
                  <w:color w:val="0000ff"/>
                </w:rPr>
                <w:t xml:space="preserve">22 33 09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Банковские и билетные автоматы, информационные сенсорные терминалы, сенсорные терминалы самообслуживания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Звуковые стимуляторы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2" w:tooltip="Ссылка на КонсультантПлюс">
              <w:r>
                <w:rPr>
                  <w:sz w:val="24"/>
                  <w:color w:val="0000ff"/>
                </w:rPr>
                <w:t xml:space="preserve">04 27 15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Шумоподавляющие наушники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Дезинфицирующие средства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3" w:tooltip="Ссылка на КонсультантПлюс">
              <w:r>
                <w:rPr>
                  <w:sz w:val="24"/>
                  <w:color w:val="0000ff"/>
                </w:rPr>
                <w:t xml:space="preserve">09 21 09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Антисептики для рук; антибактериальные салфетки;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дезинфекции поверхностей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активного отдыха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4" w:tooltip="Ссылка на КонсультантПлюс">
              <w:r>
                <w:rPr>
                  <w:sz w:val="24"/>
                  <w:color w:val="0000ff"/>
                </w:rPr>
                <w:t xml:space="preserve">05 27 03</w:t>
              </w:r>
            </w:hyperlink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Атрибуты для организации и проведения праздничных, культурно-досуговых, спортивных мероприятий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19" w:name="P3619"/>
    <w:bookmarkEnd w:id="36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7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3620" w:name="P3620"/>
    <w:bookmarkEnd w:id="36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76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3621" w:name="P3621"/>
    <w:bookmarkEnd w:id="36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В данной графе наименование вспомогательных средств и код подкласса приведен в соответствии с </w:t>
      </w:r>
      <w:hyperlink w:history="0" r:id="rId77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7143"/>
        <w:gridCol w:w="2975"/>
        <w:gridCol w:w="297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1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9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3094" w:type="dxa"/>
          </w:tcPr>
          <w:p>
            <w:pPr>
              <w:pStyle w:val="0"/>
            </w:pPr>
            <w:r>
              <w:rPr>
                <w:sz w:val="24"/>
              </w:rPr>
              <w:t xml:space="preserve">Коррекционные методы: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71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 средовых ситуаций в условиях кабинета специалистов, с целью отработки социально-средовых навыков (обращение к окружающим за помощью при резком ухудшении самочувствия, товарно-денежные расчеты, выбор качественных продуктов питания с опорой на сохранные анализаторы, обращение к администратору регистратуры поликлиники и другое)</w:t>
            </w:r>
          </w:p>
        </w:tc>
        <w:tc>
          <w:tcPr>
            <w:tcW w:w="2975" w:type="dxa"/>
          </w:tcPr>
          <w:p>
            <w:pPr>
              <w:pStyle w:val="0"/>
            </w:pPr>
            <w:r>
              <w:rPr>
                <w:sz w:val="24"/>
              </w:rPr>
              <w:t xml:space="preserve">Для всех ЦРГ</w:t>
            </w:r>
          </w:p>
        </w:tc>
        <w:tc>
          <w:tcPr>
            <w:tcW w:w="29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71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слепых пространственной ориентации по методике М.Н. Наумова</w:t>
            </w:r>
          </w:p>
        </w:tc>
        <w:tc>
          <w:tcPr>
            <w:tcW w:w="2975" w:type="dxa"/>
          </w:tcPr>
          <w:p>
            <w:pPr>
              <w:pStyle w:val="0"/>
            </w:pP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12,13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976" w:type="dxa"/>
          </w:tcPr>
          <w:p>
            <w:pPr>
              <w:pStyle w:val="0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71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(коды </w:t>
            </w:r>
            <w:hyperlink w:history="0" r:id="rId78" w:tooltip="Ссылка на КонсультантПлюс">
              <w:r>
                <w:rPr>
                  <w:sz w:val="24"/>
                  <w:color w:val="0000ff"/>
                </w:rPr>
                <w:t xml:space="preserve">22 21 03</w:t>
              </w:r>
            </w:hyperlink>
            <w:r>
              <w:rPr>
                <w:sz w:val="24"/>
              </w:rPr>
              <w:t xml:space="preserve">, </w:t>
            </w:r>
            <w:hyperlink w:history="0" r:id="rId79" w:tooltip="Ссылка на КонсультантПлюс">
              <w:r>
                <w:rPr>
                  <w:sz w:val="24"/>
                  <w:color w:val="0000ff"/>
                </w:rPr>
                <w:t xml:space="preserve">22 21 09</w:t>
              </w:r>
            </w:hyperlink>
            <w:r>
              <w:rPr>
                <w:sz w:val="24"/>
              </w:rPr>
              <w:t xml:space="preserve">, </w:t>
            </w:r>
            <w:hyperlink w:history="0" r:id="rId80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  <w:r>
              <w:rPr>
                <w:sz w:val="24"/>
              </w:rPr>
              <w:t xml:space="preserve">, </w:t>
            </w:r>
            <w:hyperlink w:history="0" r:id="rId81" w:tooltip="Ссылка на КонсультантПлюс">
              <w:r>
                <w:rPr>
                  <w:sz w:val="24"/>
                  <w:color w:val="0000ff"/>
                </w:rPr>
                <w:t xml:space="preserve">22 21 12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975" w:type="dxa"/>
          </w:tcPr>
          <w:p>
            <w:pPr>
              <w:pStyle w:val="0"/>
            </w:pP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2976" w:type="dxa"/>
          </w:tcPr>
          <w:p>
            <w:pPr>
              <w:pStyle w:val="0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71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ходьбы (на протезе)</w:t>
            </w:r>
          </w:p>
        </w:tc>
        <w:tc>
          <w:tcPr>
            <w:tcW w:w="2975" w:type="dxa"/>
          </w:tcPr>
          <w:p>
            <w:pPr>
              <w:pStyle w:val="0"/>
            </w:pP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12.3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2976" w:type="dxa"/>
          </w:tcPr>
          <w:p>
            <w:pPr>
              <w:pStyle w:val="0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4"/>
              </w:rPr>
              <w:t xml:space="preserve">Школа колясочников</w:t>
            </w:r>
          </w:p>
        </w:tc>
        <w:tc>
          <w:tcPr>
            <w:tcW w:w="2975" w:type="dxa"/>
          </w:tcPr>
          <w:p>
            <w:pPr>
              <w:pStyle w:val="0"/>
              <w:jc w:val="both"/>
            </w:pPr>
            <w:hyperlink w:history="0" w:anchor="P111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12.3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hyperlink w:history="0" w:anchor="P125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976" w:type="dxa"/>
          </w:tcPr>
          <w:p>
            <w:pPr>
              <w:pStyle w:val="0"/>
            </w:pPr>
            <w:hyperlink w:history="0" w:anchor="P108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социально-средовой реабилитации и абилитации 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Обучение слепых пространственной ориентации: Учебное пособие/М.Н. Наумов. - Москва: ВОС, 1982. - 116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Социальная реабилитация: учебник для вузов/М.В. Воронцова, В.Е. Макаров, Т.В. Бюндюгова, Ю.С. Моздокова. - Москва: Издательство Юрайт, 2024. - 317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Социальная реабилитация: Учебное пособие/Е.И. Холостова, Н.Ф. Дементьева. - Москва, 2002. - 308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Комплексная реабилитация инвалидов: учебное пособие для студентов вузов, обучающихся по направлению подготовки и специальности "Социальная работа"/Т.В. Зозуля, Е.Г. Свистунова, В.В. Чешихина и другое; под ред. Т.В. Зозули. - Москва: Академия, 2005. - 302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Реабилитация инвалидов. Национальное руководство/под ред. профессора Т.Н. Пономаренко. - Москва: Издательская группа "ГЭОТАР-Медиа", 2018. - 736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Тифлосурдопедагогика: воспитание, обучение, трудовая и социальная реабилитация слепоглухонемых: учебное пособие для студентов дефектологических факультетов педагогических институтов/А.В. Апраушев. - Москва: Просвещение, 1983. - 207 с.</w:t>
      </w:r>
    </w:p>
    <w:p>
      <w:pPr>
        <w:pStyle w:val="0"/>
        <w:jc w:val="both"/>
      </w:pPr>
      <w:r>
        <w:rPr>
          <w:sz w:val="24"/>
        </w:rPr>
      </w:r>
    </w:p>
    <w:bookmarkStart w:id="3667" w:name="P3667"/>
    <w:bookmarkEnd w:id="3667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53.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социально-средовая диагностика первичная (входящая), а по завершении - социально-средовая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социально-средовой диагностики используется протокол оценки эффективности проведенного курса социально-средовой реабилитации и абилитации ребенка-инвалида (далее - протокол), представленный в </w:t>
      </w:r>
      <w:hyperlink w:history="0" w:anchor="P3760" w:tooltip="54. Протокол оценки эффективности проведенного курса социально-средовой реабилитации и абилитации.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социально-средовой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социально-средовой диагностики первичной (входящей) определяются конкретные цели на курс социально-средовой реабилитации и абилитации и определяется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социально-средовая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4762"/>
        <w:gridCol w:w="1246"/>
        <w:gridCol w:w="1246"/>
        <w:gridCol w:w="1248"/>
      </w:tblGrid>
      <w:tr>
        <w:tc>
          <w:tcPr>
            <w:gridSpan w:val="2"/>
            <w:tcW w:w="53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2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333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(социально-средовая диагностика (первичная (входящая),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целей" (C) оценивается исходя из того, насколько полно были реализованы конкретные цели, определенные при социально-средовой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социально-средовой диагностики первичной (входящей) 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3061"/>
        <w:gridCol w:w="3023"/>
      </w:tblGrid>
      <w:tr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55 - 75%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социально-средовая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социально-средовой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3760" w:name="P3760"/>
    <w:bookmarkEnd w:id="3760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54. Протокол оценки эффективности проведенного курса социально-средовой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51"/>
      </w:tblGrid>
      <w:tr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первичной (входящей)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  <w:tc>
          <w:tcPr>
            <w:gridSpan w:val="5"/>
            <w:tcW w:w="4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повторной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(контрольной)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3150 Восприятие жестов и телодвижений при общении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335 Составление и изложение сообщений в невербальной форме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3350 Составление и изложение сообщений посредством языка тела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3351 Составление низложение сообщений посредством знаков и символов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3602 Использование техник общения (в частности, чтение по губам) </w:t>
            </w:r>
            <w:hyperlink w:history="0" w:anchor="P4183" w:tooltip="&lt;11&gt; Оценивается только у лиц с нарушением слуха (для лиц без нарушения слуха в данной категории МКФ присваивается оценка 0 - &quot;нет нарушений&quot;)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415 Поддержание положения тела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4153 Нахождение в положении сидя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4154 Нахождение в положении стоя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430 Поднятие и перенос объектов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4301 Перенос кистями рук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4302 Перенос руками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4303 Перенос на плечах, бедрах и спине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450 Ходьба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4500 Ходьба на короткие расстояния (менее километра), в частности, в комнатах, коридорах, в пределах здания или на короткие расстояния вне дома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4501 Ходьба на дальние расстояния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4502 Ходьба по различным поверхностям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4503 Ходьба вокруг препятствий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465 Передвижение с использованием технических средств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470 Использование пассажирского транспорта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620 Приобретение товаров и услуг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6200 Осуществление покупок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6201 Обеспечение повседневными потребностями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7203 Взаимодействие в соответствии с социальными нормами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7204 Соблюдение дистанции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4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руководитель)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860 Базисные экономические отношения</w:t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41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gridSpan w:val="5"/>
            <w:tcW w:w="4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7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____/____ * 100% =</w:t>
            </w:r>
          </w:p>
        </w:tc>
        <w:tc>
          <w:tcPr>
            <w:gridSpan w:val="5"/>
            <w:tcW w:w="472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 33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183" w:name="P4183"/>
    <w:bookmarkEnd w:id="4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Оценивается только у лиц с нарушением слуха (для лиц без нарушения слуха в данной категории МКФ присваивается оценка 0 - "нет нарушений").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07.04.2025 N 179н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07.04.2025 N 179н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0&amp;field=134" TargetMode = "External"/>
	<Relationship Id="rId9" Type="http://schemas.openxmlformats.org/officeDocument/2006/relationships/hyperlink" Target="https://login.consultant.ru/link/?req=doc&amp;base=LAW&amp;n=481937&amp;date=18.09.2025&amp;dst=100028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3&amp;field=134" TargetMode = "External"/>
	<Relationship Id="rId12" Type="http://schemas.openxmlformats.org/officeDocument/2006/relationships/hyperlink" Target="https://login.consultant.ru/link/?req=doc&amp;base=LAW&amp;n=485034&amp;date=18.09.2025&amp;dst=100034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66207&amp;date=18.09.2025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735&amp;field=134" TargetMode = "External"/>
	<Relationship Id="rId35" Type="http://schemas.openxmlformats.org/officeDocument/2006/relationships/hyperlink" Target="https://login.consultant.ru/link/?req=doc&amp;base=OTN&amp;n=26841&amp;date=18.09.2025&amp;dst=100980&amp;field=134" TargetMode = "External"/>
	<Relationship Id="rId36" Type="http://schemas.openxmlformats.org/officeDocument/2006/relationships/hyperlink" Target="https://login.consultant.ru/link/?req=doc&amp;base=OTN&amp;n=26841&amp;date=18.09.2025&amp;dst=100719&amp;field=134" TargetMode = "External"/>
	<Relationship Id="rId37" Type="http://schemas.openxmlformats.org/officeDocument/2006/relationships/hyperlink" Target="https://login.consultant.ru/link/?req=doc&amp;base=OTN&amp;n=26841&amp;date=18.09.2025&amp;dst=100883&amp;field=134" TargetMode = "External"/>
	<Relationship Id="rId38" Type="http://schemas.openxmlformats.org/officeDocument/2006/relationships/hyperlink" Target="https://login.consultant.ru/link/?req=doc&amp;base=OTN&amp;n=26841&amp;date=18.09.2025&amp;dst=100941&amp;field=134" TargetMode = "External"/>
	<Relationship Id="rId39" Type="http://schemas.openxmlformats.org/officeDocument/2006/relationships/hyperlink" Target="https://login.consultant.ru/link/?req=doc&amp;base=OTN&amp;n=26841&amp;date=18.09.2025&amp;dst=100944&amp;field=134" TargetMode = "External"/>
	<Relationship Id="rId40" Type="http://schemas.openxmlformats.org/officeDocument/2006/relationships/hyperlink" Target="https://login.consultant.ru/link/?req=doc&amp;base=OTN&amp;n=26841&amp;date=18.09.2025&amp;dst=100948&amp;field=134" TargetMode = "External"/>
	<Relationship Id="rId41" Type="http://schemas.openxmlformats.org/officeDocument/2006/relationships/hyperlink" Target="https://login.consultant.ru/link/?req=doc&amp;base=OTN&amp;n=26841&amp;date=18.09.2025&amp;dst=101978&amp;field=134" TargetMode = "External"/>
	<Relationship Id="rId42" Type="http://schemas.openxmlformats.org/officeDocument/2006/relationships/hyperlink" Target="https://login.consultant.ru/link/?req=doc&amp;base=OTN&amp;n=26841&amp;date=18.09.2025&amp;dst=101947&amp;field=134" TargetMode = "External"/>
	<Relationship Id="rId43" Type="http://schemas.openxmlformats.org/officeDocument/2006/relationships/hyperlink" Target="https://login.consultant.ru/link/?req=doc&amp;base=OTN&amp;n=26841&amp;date=18.09.2025&amp;dst=101492&amp;field=134" TargetMode = "External"/>
	<Relationship Id="rId44" Type="http://schemas.openxmlformats.org/officeDocument/2006/relationships/hyperlink" Target="https://login.consultant.ru/link/?req=doc&amp;base=OTN&amp;n=26841&amp;date=18.09.2025&amp;dst=101455&amp;field=134" TargetMode = "External"/>
	<Relationship Id="rId45" Type="http://schemas.openxmlformats.org/officeDocument/2006/relationships/hyperlink" Target="https://login.consultant.ru/link/?req=doc&amp;base=OTN&amp;n=26841&amp;date=18.09.2025&amp;dst=102405&amp;field=134" TargetMode = "External"/>
	<Relationship Id="rId46" Type="http://schemas.openxmlformats.org/officeDocument/2006/relationships/hyperlink" Target="https://login.consultant.ru/link/?req=doc&amp;base=OTN&amp;n=26841&amp;date=18.09.2025&amp;dst=102409&amp;field=134" TargetMode = "External"/>
	<Relationship Id="rId47" Type="http://schemas.openxmlformats.org/officeDocument/2006/relationships/hyperlink" Target="https://login.consultant.ru/link/?req=doc&amp;base=OTN&amp;n=26841&amp;date=18.09.2025&amp;dst=102413&amp;field=134" TargetMode = "External"/>
	<Relationship Id="rId48" Type="http://schemas.openxmlformats.org/officeDocument/2006/relationships/hyperlink" Target="https://login.consultant.ru/link/?req=doc&amp;base=OTN&amp;n=26841&amp;date=18.09.2025&amp;dst=102413&amp;field=134" TargetMode = "External"/>
	<Relationship Id="rId49" Type="http://schemas.openxmlformats.org/officeDocument/2006/relationships/hyperlink" Target="https://login.consultant.ru/link/?req=doc&amp;base=OTN&amp;n=26841&amp;date=18.09.2025&amp;dst=102416&amp;field=134" TargetMode = "External"/>
	<Relationship Id="rId50" Type="http://schemas.openxmlformats.org/officeDocument/2006/relationships/hyperlink" Target="https://login.consultant.ru/link/?req=doc&amp;base=OTN&amp;n=26841&amp;date=18.09.2025&amp;dst=102423&amp;field=134" TargetMode = "External"/>
	<Relationship Id="rId51" Type="http://schemas.openxmlformats.org/officeDocument/2006/relationships/hyperlink" Target="https://login.consultant.ru/link/?req=doc&amp;base=OTN&amp;n=26841&amp;date=18.09.2025&amp;dst=102426&amp;field=134" TargetMode = "External"/>
	<Relationship Id="rId52" Type="http://schemas.openxmlformats.org/officeDocument/2006/relationships/hyperlink" Target="https://login.consultant.ru/link/?req=doc&amp;base=OTN&amp;n=26841&amp;date=18.09.2025&amp;dst=102430&amp;field=134" TargetMode = "External"/>
	<Relationship Id="rId53" Type="http://schemas.openxmlformats.org/officeDocument/2006/relationships/hyperlink" Target="https://login.consultant.ru/link/?req=doc&amp;base=OTN&amp;n=26841&amp;date=18.09.2025&amp;dst=102186&amp;field=134" TargetMode = "External"/>
	<Relationship Id="rId54" Type="http://schemas.openxmlformats.org/officeDocument/2006/relationships/hyperlink" Target="https://login.consultant.ru/link/?req=doc&amp;base=OTN&amp;n=26841&amp;date=18.09.2025&amp;dst=102222&amp;field=134" TargetMode = "External"/>
	<Relationship Id="rId55" Type="http://schemas.openxmlformats.org/officeDocument/2006/relationships/hyperlink" Target="https://login.consultant.ru/link/?req=doc&amp;base=OTN&amp;n=26841&amp;date=18.09.2025&amp;dst=102975&amp;field=134" TargetMode = "External"/>
	<Relationship Id="rId56" Type="http://schemas.openxmlformats.org/officeDocument/2006/relationships/hyperlink" Target="https://login.consultant.ru/link/?req=doc&amp;base=OTN&amp;n=26841&amp;date=18.09.2025&amp;dst=103004&amp;field=134" TargetMode = "External"/>
	<Relationship Id="rId57" Type="http://schemas.openxmlformats.org/officeDocument/2006/relationships/hyperlink" Target="https://login.consultant.ru/link/?req=doc&amp;base=OTN&amp;n=26841&amp;date=18.09.2025&amp;dst=103013&amp;field=134" TargetMode = "External"/>
	<Relationship Id="rId58" Type="http://schemas.openxmlformats.org/officeDocument/2006/relationships/hyperlink" Target="https://login.consultant.ru/link/?req=doc&amp;base=OTN&amp;n=26841&amp;date=18.09.2025&amp;dst=103016&amp;field=134" TargetMode = "External"/>
	<Relationship Id="rId59" Type="http://schemas.openxmlformats.org/officeDocument/2006/relationships/hyperlink" Target="https://login.consultant.ru/link/?req=doc&amp;base=OTN&amp;n=26841&amp;date=18.09.2025&amp;dst=103019&amp;field=134" TargetMode = "External"/>
	<Relationship Id="rId60" Type="http://schemas.openxmlformats.org/officeDocument/2006/relationships/hyperlink" Target="https://login.consultant.ru/link/?req=doc&amp;base=OTN&amp;n=26841&amp;date=18.09.2025&amp;dst=103023&amp;field=134" TargetMode = "External"/>
	<Relationship Id="rId61" Type="http://schemas.openxmlformats.org/officeDocument/2006/relationships/hyperlink" Target="https://login.consultant.ru/link/?req=doc&amp;base=OTN&amp;n=26841&amp;date=18.09.2025&amp;dst=103148&amp;field=134" TargetMode = "External"/>
	<Relationship Id="rId62" Type="http://schemas.openxmlformats.org/officeDocument/2006/relationships/hyperlink" Target="https://login.consultant.ru/link/?req=doc&amp;base=OTN&amp;n=26841&amp;date=18.09.2025&amp;dst=103164&amp;field=134" TargetMode = "External"/>
	<Relationship Id="rId63" Type="http://schemas.openxmlformats.org/officeDocument/2006/relationships/hyperlink" Target="https://login.consultant.ru/link/?req=doc&amp;base=OTN&amp;n=26841&amp;date=18.09.2025&amp;dst=103168&amp;field=134" TargetMode = "External"/>
	<Relationship Id="rId64" Type="http://schemas.openxmlformats.org/officeDocument/2006/relationships/hyperlink" Target="https://login.consultant.ru/link/?req=doc&amp;base=OTN&amp;n=26841&amp;date=18.09.2025&amp;dst=103178&amp;field=134" TargetMode = "External"/>
	<Relationship Id="rId65" Type="http://schemas.openxmlformats.org/officeDocument/2006/relationships/hyperlink" Target="https://login.consultant.ru/link/?req=doc&amp;base=OTN&amp;n=26841&amp;date=18.09.2025&amp;dst=103182&amp;field=134" TargetMode = "External"/>
	<Relationship Id="rId66" Type="http://schemas.openxmlformats.org/officeDocument/2006/relationships/hyperlink" Target="https://login.consultant.ru/link/?req=doc&amp;base=OTN&amp;n=26841&amp;date=18.09.2025&amp;dst=103200&amp;field=134" TargetMode = "External"/>
	<Relationship Id="rId67" Type="http://schemas.openxmlformats.org/officeDocument/2006/relationships/hyperlink" Target="https://login.consultant.ru/link/?req=doc&amp;base=OTN&amp;n=26841&amp;date=18.09.2025&amp;dst=103229&amp;field=134" TargetMode = "External"/>
	<Relationship Id="rId68" Type="http://schemas.openxmlformats.org/officeDocument/2006/relationships/hyperlink" Target="https://login.consultant.ru/link/?req=doc&amp;base=OTN&amp;n=26841&amp;date=18.09.2025&amp;dst=103247&amp;field=134" TargetMode = "External"/>
	<Relationship Id="rId69" Type="http://schemas.openxmlformats.org/officeDocument/2006/relationships/hyperlink" Target="https://login.consultant.ru/link/?req=doc&amp;base=OTN&amp;n=26841&amp;date=18.09.2025&amp;dst=103254&amp;field=134" TargetMode = "External"/>
	<Relationship Id="rId70" Type="http://schemas.openxmlformats.org/officeDocument/2006/relationships/hyperlink" Target="https://login.consultant.ru/link/?req=doc&amp;base=OTN&amp;n=26841&amp;date=18.09.2025&amp;dst=103258&amp;field=134" TargetMode = "External"/>
	<Relationship Id="rId71" Type="http://schemas.openxmlformats.org/officeDocument/2006/relationships/hyperlink" Target="https://login.consultant.ru/link/?req=doc&amp;base=OTN&amp;n=26841&amp;date=18.09.2025&amp;dst=103312&amp;field=134" TargetMode = "External"/>
	<Relationship Id="rId72" Type="http://schemas.openxmlformats.org/officeDocument/2006/relationships/hyperlink" Target="https://login.consultant.ru/link/?req=doc&amp;base=OTN&amp;n=26841&amp;date=18.09.2025&amp;dst=100661&amp;field=134" TargetMode = "External"/>
	<Relationship Id="rId73" Type="http://schemas.openxmlformats.org/officeDocument/2006/relationships/hyperlink" Target="https://login.consultant.ru/link/?req=doc&amp;base=OTN&amp;n=26841&amp;date=18.09.2025&amp;dst=101678&amp;field=134" TargetMode = "External"/>
	<Relationship Id="rId74" Type="http://schemas.openxmlformats.org/officeDocument/2006/relationships/hyperlink" Target="https://login.consultant.ru/link/?req=doc&amp;base=OTN&amp;n=26841&amp;date=18.09.2025&amp;dst=100937&amp;field=134" TargetMode = "External"/>
	<Relationship Id="rId75" Type="http://schemas.openxmlformats.org/officeDocument/2006/relationships/hyperlink" Target="https://login.consultant.ru/link/?req=doc&amp;base=LAW&amp;n=485034&amp;date=18.09.2025" TargetMode = "External"/>
	<Relationship Id="rId76" Type="http://schemas.openxmlformats.org/officeDocument/2006/relationships/hyperlink" Target="https://login.consultant.ru/link/?req=doc&amp;base=OTN&amp;n=26841&amp;date=18.09.2025" TargetMode = "External"/>
	<Relationship Id="rId77" Type="http://schemas.openxmlformats.org/officeDocument/2006/relationships/hyperlink" Target="https://login.consultant.ru/link/?req=doc&amp;base=OTN&amp;n=26841&amp;date=18.09.2025" TargetMode = "External"/>
	<Relationship Id="rId78" Type="http://schemas.openxmlformats.org/officeDocument/2006/relationships/hyperlink" Target="https://login.consultant.ru/link/?req=doc&amp;base=OTN&amp;n=26841&amp;date=18.09.2025&amp;dst=103168&amp;field=134" TargetMode = "External"/>
	<Relationship Id="rId79" Type="http://schemas.openxmlformats.org/officeDocument/2006/relationships/hyperlink" Target="https://login.consultant.ru/link/?req=doc&amp;base=OTN&amp;n=26841&amp;date=18.09.2025&amp;dst=103178&amp;field=134" TargetMode = "External"/>
	<Relationship Id="rId80" Type="http://schemas.openxmlformats.org/officeDocument/2006/relationships/hyperlink" Target="https://login.consultant.ru/link/?req=doc&amp;base=OTN&amp;n=26841&amp;date=18.09.2025&amp;dst=103200&amp;field=134" TargetMode = "External"/>
	<Relationship Id="rId81" Type="http://schemas.openxmlformats.org/officeDocument/2006/relationships/hyperlink" Target="https://login.consultant.ru/link/?req=doc&amp;base=OTN&amp;n=26841&amp;date=18.09.2025&amp;dst=10318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07.04.2025 N 179н
"Об утверждении Стандарта оказания услуги по социально-средовой реабилитации и абилитации инвалидов, получивших травму, ранение, контузию, увечье в связи с боевыми действиями"
(Зарегистрировано в Минюсте России 13.05.2025 N 82136)</dc:title>
  <dcterms:created xsi:type="dcterms:W3CDTF">2025-09-18T03:56:53Z</dcterms:created>
</cp:coreProperties>
</file>